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Folder tlenowy: edycja dla pozostałych krajów</w:t>
      </w:r>
    </w:p>
    <w:bookmarkStart w:id="13" w:name="X06184d805ab25b3cbd48a873e3a902c24afaa43"/>
    <w:p>
      <w:pPr>
        <w:pStyle w:val="Heading1"/>
      </w:pPr>
      <w:r>
        <w:t xml:space="preserve">Folder tlenowy: edycja dla pozostałych krajów</w:t>
      </w:r>
    </w:p>
    <w:p>
      <w:pPr>
        <w:pStyle w:val="FirstParagraph"/>
      </w:pPr>
      <w:r>
        <w:t xml:space="preserve">Ten folder ma pomóc w uzyskaniu recepty na tlenoterapię wysokim przepływem</w:t>
      </w:r>
      <w:r>
        <w:t xml:space="preserve"> </w:t>
      </w:r>
      <w:r>
        <w:t xml:space="preserve">w leczeniu klasterowego bólu głowy poza Stanami Zjednoczonymi i Wielką</w:t>
      </w:r>
      <w:r>
        <w:t xml:space="preserve"> </w:t>
      </w:r>
      <w:r>
        <w:t xml:space="preserve">Brytanią. Wykorzystuje neutralne, międzynarodowo stosowane sformułowania</w:t>
      </w:r>
      <w:r>
        <w:t xml:space="preserve"> </w:t>
      </w:r>
      <w:r>
        <w:t xml:space="preserve">i odwołuje się do wytycznych European Academy of Neurology oraz American</w:t>
      </w:r>
      <w:r>
        <w:t xml:space="preserve"> </w:t>
      </w:r>
      <w:r>
        <w:t xml:space="preserve">Headache Society, które są uznawane w większości systemów krajowych.</w:t>
      </w:r>
    </w:p>
    <w:p>
      <w:pPr>
        <w:pStyle w:val="BodyText"/>
      </w:pPr>
      <w:r>
        <w:t xml:space="preserve">Jeśli odbiorca znajduje się w</w:t>
      </w:r>
      <w:r>
        <w:t xml:space="preserve"> </w:t>
      </w:r>
      <w:r>
        <w:rPr>
          <w:b/>
          <w:bCs/>
        </w:rPr>
        <w:t xml:space="preserve">USA</w:t>
      </w:r>
      <w:r>
        <w:t xml:space="preserve"> </w:t>
      </w:r>
      <w:r>
        <w:t xml:space="preserve">lub</w:t>
      </w:r>
      <w:r>
        <w:t xml:space="preserve"> </w:t>
      </w:r>
      <w:r>
        <w:rPr>
          <w:b/>
          <w:bCs/>
        </w:rPr>
        <w:t xml:space="preserve">Wielkiej Brytanii</w:t>
      </w:r>
      <w:r>
        <w:t xml:space="preserve">, należy</w:t>
      </w:r>
      <w:r>
        <w:t xml:space="preserve"> </w:t>
      </w:r>
      <w:r>
        <w:t xml:space="preserve">pobrać odpowiedni pakiet dla danego kraju. Tamte pakiety zawierają</w:t>
      </w:r>
      <w:r>
        <w:t xml:space="preserve"> </w:t>
      </w:r>
      <w:r>
        <w:t xml:space="preserve">lokalne formularze i wskazówki dotyczące konkretnej ścieżki (Medicare</w:t>
      </w:r>
      <w:r>
        <w:t xml:space="preserve"> </w:t>
      </w:r>
      <w:r>
        <w:t xml:space="preserve">LCD / SWO dla USA; HOOF Part A oraz NHS Scotland Right Decisions dla</w:t>
      </w:r>
      <w:r>
        <w:t xml:space="preserve"> </w:t>
      </w:r>
      <w:r>
        <w:t xml:space="preserve">Wielkiej Brytanii).</w:t>
      </w:r>
    </w:p>
    <w:p>
      <w:pPr>
        <w:pStyle w:val="BodyText"/>
      </w:pPr>
      <w:r>
        <w:t xml:space="preserve">Pełny kontekst dla każdego z dokumentów znajduje się w rozdziale</w:t>
      </w:r>
      <w:r>
        <w:t xml:space="preserve"> </w:t>
      </w:r>
      <w:r>
        <w:rPr>
          <w:i/>
          <w:iCs/>
        </w:rPr>
        <w:t xml:space="preserve">Getting access to oxygen</w:t>
      </w:r>
      <w:r>
        <w:t xml:space="preserve"> </w:t>
      </w:r>
      <w:r>
        <w:t xml:space="preserve">na clusterinfo.org.</w:t>
      </w:r>
    </w:p>
    <w:bookmarkStart w:id="9" w:name="co-znajduje-się-w-folderze"/>
    <w:p>
      <w:pPr>
        <w:pStyle w:val="Heading2"/>
      </w:pPr>
      <w:r>
        <w:t xml:space="preserve">Co znajduje się w folderze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Plik</w:t>
            </w:r>
          </w:p>
        </w:tc>
        <w:tc>
          <w:tcPr/>
          <w:p>
            <w:pPr>
              <w:pStyle w:val="Compact"/>
            </w:pPr>
            <w:r>
              <w:t xml:space="preserve">Przeznaczenie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01-pismo-prosba-o-recepte.docx</w:t>
            </w:r>
          </w:p>
        </w:tc>
        <w:tc>
          <w:tcPr/>
          <w:p>
            <w:pPr>
              <w:pStyle w:val="Compact"/>
            </w:pPr>
            <w:r>
              <w:t xml:space="preserve">Edytowalny list od pacjenta do lekarza, podsumowujący argumenty za przepisaniem tlenu.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02-recepta-maska-bezzwrotna.docx</w:t>
            </w:r>
          </w:p>
        </w:tc>
        <w:tc>
          <w:tcPr/>
          <w:p>
            <w:pPr>
              <w:pStyle w:val="Compact"/>
            </w:pPr>
            <w:r>
              <w:t xml:space="preserve">Edytowalny szablon recepty na maskę bezzwrotną z neutralnym sformułowaniem.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03-recepta-zawor-na-zadanie.docx</w:t>
            </w:r>
          </w:p>
        </w:tc>
        <w:tc>
          <w:tcPr/>
          <w:p>
            <w:pPr>
              <w:pStyle w:val="Compact"/>
            </w:pPr>
            <w:r>
              <w:t xml:space="preserve">Edytowalny szablon recepty na tlen z zaworem na żądanie (DVO) z neutralnym sformułowaniem.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04-dowody.docx</w:t>
            </w:r>
          </w:p>
        </w:tc>
        <w:tc>
          <w:tcPr/>
          <w:p>
            <w:pPr>
              <w:pStyle w:val="Compact"/>
            </w:pPr>
            <w:r>
              <w:t xml:space="preserve">Jednostronicowe podsumowania badań najczęściej cytowanych jako uzasadnienie stosowania tlenu w klasterowym bólu głowy, wraz z odnośnikami.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05-pismo-zasadnosc-medyczna.docx</w:t>
            </w:r>
          </w:p>
        </w:tc>
        <w:tc>
          <w:tcPr/>
          <w:p>
            <w:pPr>
              <w:pStyle w:val="Compact"/>
            </w:pPr>
            <w:r>
              <w:t xml:space="preserve">Edytowalny szablon do wypełnienia i podpisania przez lekarza. Przydatny, gdy lokalny płatnik lub dostawca kwestionują receptę.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06-podsumowanie-wytycznych.docx</w:t>
            </w:r>
          </w:p>
        </w:tc>
        <w:tc>
          <w:tcPr/>
          <w:p>
            <w:pPr>
              <w:pStyle w:val="Compact"/>
            </w:pPr>
            <w:r>
              <w:t xml:space="preserve">Jednostronicowe podsumowanie głównych wytycznych zalecających tlen jako leczenie doraźne pierwszego wyboru (EAN, AHS i inne).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artykuly-pelnotekstowe/</w:t>
            </w:r>
          </w:p>
        </w:tc>
        <w:tc>
          <w:tcPr/>
          <w:p>
            <w:pPr>
              <w:pStyle w:val="Compact"/>
            </w:pPr>
            <w:r>
              <w:t xml:space="preserve">Folder na pliki PDF (open access) z badaniami podsumowanymi w</w:t>
            </w:r>
            <w:r>
              <w:t xml:space="preserve"> </w:t>
            </w:r>
            <w:r>
              <w:rPr>
                <w:rStyle w:val="VerbatimChar"/>
              </w:rPr>
              <w:t xml:space="preserve">04-dowody.docx</w:t>
            </w:r>
            <w:r>
              <w:t xml:space="preserve">.</w:t>
            </w:r>
          </w:p>
        </w:tc>
      </w:tr>
    </w:tbl>
    <w:bookmarkEnd w:id="9"/>
    <w:bookmarkStart w:id="10" w:name="co-należy-dodać-samodzielnie"/>
    <w:p>
      <w:pPr>
        <w:pStyle w:val="Heading2"/>
      </w:pPr>
      <w:r>
        <w:t xml:space="preserve">Co należy dodać samodzielnie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Kopię rozpoznania klasterowego bólu głowy.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Wszelkie lokalne wytyczne</w:t>
      </w:r>
      <w:r>
        <w:t xml:space="preserve"> </w:t>
      </w:r>
      <w:r>
        <w:t xml:space="preserve">krajowego towarzystwa bólów głowy lub</w:t>
      </w:r>
      <w:r>
        <w:t xml:space="preserve"> </w:t>
      </w:r>
      <w:r>
        <w:t xml:space="preserve">organu medycznego, które zalecają tlen w klasterowym bólu głowy.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Lokalne formularze recept / refundacji</w:t>
      </w:r>
      <w:r>
        <w:t xml:space="preserve">, jeśli takie istnieją.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Wszelkie wcześniejsze nieskuteczne leczenie doraźne</w:t>
      </w:r>
      <w:r>
        <w:t xml:space="preserve">, wraz z</w:t>
      </w:r>
      <w:r>
        <w:t xml:space="preserve"> </w:t>
      </w:r>
      <w:r>
        <w:t xml:space="preserve">datami i wynikami.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Podpisane pismo o zasadności medycznej</w:t>
      </w:r>
      <w:r>
        <w:t xml:space="preserve"> </w:t>
      </w:r>
      <w:r>
        <w:t xml:space="preserve">(jako szablon należy</w:t>
      </w:r>
      <w:r>
        <w:t xml:space="preserve"> </w:t>
      </w:r>
      <w:r>
        <w:t xml:space="preserve">wykorzystać</w:t>
      </w:r>
      <w:r>
        <w:t xml:space="preserve"> </w:t>
      </w:r>
      <w:r>
        <w:rPr>
          <w:rStyle w:val="VerbatimChar"/>
        </w:rPr>
        <w:t xml:space="preserve">05-...</w:t>
      </w:r>
      <w:r>
        <w:t xml:space="preserve">).</w:t>
      </w:r>
    </w:p>
    <w:bookmarkEnd w:id="10"/>
    <w:bookmarkStart w:id="11" w:name="jak-korzystać"/>
    <w:p>
      <w:pPr>
        <w:pStyle w:val="Heading2"/>
      </w:pPr>
      <w:r>
        <w:t xml:space="preserve">Jak korzystać</w:t>
      </w:r>
    </w:p>
    <w:p>
      <w:pPr>
        <w:pStyle w:val="Compact"/>
        <w:numPr>
          <w:ilvl w:val="0"/>
          <w:numId w:val="1002"/>
        </w:numPr>
      </w:pPr>
      <w:r>
        <w:t xml:space="preserve">Należy przeczytać</w:t>
      </w:r>
      <w:r>
        <w:t xml:space="preserve"> </w:t>
      </w:r>
      <w:r>
        <w:rPr>
          <w:rStyle w:val="VerbatimChar"/>
        </w:rPr>
        <w:t xml:space="preserve">01-pismo-prosba-o-recepte.docx</w:t>
      </w:r>
      <w:r>
        <w:t xml:space="preserve"> </w:t>
      </w:r>
      <w:r>
        <w:t xml:space="preserve">i wypełnić</w:t>
      </w:r>
      <w:r>
        <w:t xml:space="preserve"> </w:t>
      </w:r>
      <w:r>
        <w:t xml:space="preserve">pola w nawiasach kwadratowych.</w:t>
      </w:r>
    </w:p>
    <w:p>
      <w:pPr>
        <w:pStyle w:val="Compact"/>
        <w:numPr>
          <w:ilvl w:val="0"/>
          <w:numId w:val="1002"/>
        </w:numPr>
      </w:pPr>
      <w:r>
        <w:t xml:space="preserve">Przed wizytą folder należy wydrukować lub przesłać e-mailem do</w:t>
      </w:r>
      <w:r>
        <w:t xml:space="preserve"> </w:t>
      </w:r>
      <w:r>
        <w:t xml:space="preserve">lekarza.</w:t>
      </w:r>
    </w:p>
    <w:p>
      <w:pPr>
        <w:pStyle w:val="Compact"/>
        <w:numPr>
          <w:ilvl w:val="0"/>
          <w:numId w:val="1002"/>
        </w:numPr>
      </w:pPr>
      <w:r>
        <w:t xml:space="preserve">Podczas wizyty należy poprosić lekarza o wystawienie recepty na</w:t>
      </w:r>
      <w:r>
        <w:t xml:space="preserve"> </w:t>
      </w:r>
      <w:r>
        <w:t xml:space="preserve">podstawie</w:t>
      </w:r>
      <w:r>
        <w:t xml:space="preserve"> </w:t>
      </w:r>
      <w:r>
        <w:rPr>
          <w:rStyle w:val="VerbatimChar"/>
        </w:rPr>
        <w:t xml:space="preserve">02-recepta-maska-bezzwrotna.docx</w:t>
      </w:r>
      <w:r>
        <w:t xml:space="preserve"> </w:t>
      </w:r>
      <w:r>
        <w:t xml:space="preserve">(lub</w:t>
      </w:r>
      <w:r>
        <w:t xml:space="preserve"> </w:t>
      </w:r>
      <w:r>
        <w:rPr>
          <w:rStyle w:val="VerbatimChar"/>
        </w:rPr>
        <w:t xml:space="preserve">03-recepta-zawor-na-zadanie.docx</w:t>
      </w:r>
      <w:r>
        <w:t xml:space="preserve">,</w:t>
      </w:r>
      <w:r>
        <w:t xml:space="preserve"> </w:t>
      </w:r>
      <w:r>
        <w:t xml:space="preserve">jeśli tlen z zaworem na żądanie jest dostępny lokalnie).</w:t>
      </w:r>
    </w:p>
    <w:p>
      <w:pPr>
        <w:pStyle w:val="Compact"/>
        <w:numPr>
          <w:ilvl w:val="0"/>
          <w:numId w:val="1002"/>
        </w:numPr>
      </w:pPr>
      <w:r>
        <w:t xml:space="preserve">Jeśli lokalny płatnik lub dostawca zakwestionuje receptę, należy</w:t>
      </w:r>
      <w:r>
        <w:t xml:space="preserve"> </w:t>
      </w:r>
      <w:r>
        <w:t xml:space="preserve">przekazać lekarzowi</w:t>
      </w:r>
      <w:r>
        <w:t xml:space="preserve"> </w:t>
      </w:r>
      <w:r>
        <w:rPr>
          <w:rStyle w:val="VerbatimChar"/>
        </w:rPr>
        <w:t xml:space="preserve">05-pismo-zasadnosc-medyczna.docx</w:t>
      </w:r>
      <w:r>
        <w:t xml:space="preserve"> </w:t>
      </w:r>
      <w:r>
        <w:t xml:space="preserve">do</w:t>
      </w:r>
      <w:r>
        <w:t xml:space="preserve"> </w:t>
      </w:r>
      <w:r>
        <w:t xml:space="preserve">wypełnienia i podpisania.</w:t>
      </w:r>
    </w:p>
    <w:bookmarkEnd w:id="11"/>
    <w:bookmarkStart w:id="12" w:name="lokalna-ścieżka"/>
    <w:p>
      <w:pPr>
        <w:pStyle w:val="Heading2"/>
      </w:pPr>
      <w:r>
        <w:t xml:space="preserve">Lokalna ścieżka</w:t>
      </w:r>
    </w:p>
    <w:p>
      <w:pPr>
        <w:pStyle w:val="FirstParagraph"/>
      </w:pPr>
      <w:r>
        <w:t xml:space="preserve">Ścieżka uzyskania tlenu do domu znacznie różni się między krajami. Dwie</w:t>
      </w:r>
      <w:r>
        <w:t xml:space="preserve"> </w:t>
      </w:r>
      <w:r>
        <w:t xml:space="preserve">zasady obowiązują wszędzie: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Należy zrozumieć, kto wystawia receptę, kto dostarcza sprzęt, a kto</w:t>
      </w:r>
      <w:r>
        <w:rPr>
          <w:b/>
          <w:bCs/>
        </w:rPr>
        <w:t xml:space="preserve"> </w:t>
      </w:r>
      <w:r>
        <w:rPr>
          <w:b/>
          <w:bCs/>
        </w:rPr>
        <w:t xml:space="preserve">pokrywa koszty w danym regionie.</w:t>
      </w:r>
      <w:r>
        <w:t xml:space="preserve"> </w:t>
      </w:r>
      <w:r>
        <w:t xml:space="preserve">Lekarze, dostawcy i płatnicy</w:t>
      </w:r>
      <w:r>
        <w:t xml:space="preserve"> </w:t>
      </w:r>
      <w:r>
        <w:t xml:space="preserve">często pracują w oparciu o błędne założenia. Znajomość lokalnych</w:t>
      </w:r>
      <w:r>
        <w:t xml:space="preserve"> </w:t>
      </w:r>
      <w:r>
        <w:t xml:space="preserve">reguł pomaga.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Każdą odmowę należy uzyskać na piśmie.</w:t>
      </w:r>
      <w:r>
        <w:t xml:space="preserve"> </w:t>
      </w:r>
      <w:r>
        <w:t xml:space="preserve">Zmienia to nieokreślone</w:t>
      </w:r>
      <w:r>
        <w:t xml:space="preserve"> </w:t>
      </w:r>
      <w:r>
        <w:t xml:space="preserve">odrzucenie w problem, którym można się zająć, i wzmacnia każde</w:t>
      </w:r>
      <w:r>
        <w:t xml:space="preserve"> </w:t>
      </w:r>
      <w:r>
        <w:t xml:space="preserve">odwołanie.</w:t>
      </w:r>
    </w:p>
    <w:p>
      <w:pPr>
        <w:pStyle w:val="FirstParagraph"/>
      </w:pPr>
      <w:r>
        <w:t xml:space="preserve">Lokalne organizacje pacjenckie i społeczności rówieśnicze są często</w:t>
      </w:r>
      <w:r>
        <w:t xml:space="preserve"> </w:t>
      </w:r>
      <w:r>
        <w:t xml:space="preserve">najszybszą drogą do poznania ścieżki obowiązującej w danym kraju.</w:t>
      </w:r>
    </w:p>
    <w:bookmarkEnd w:id="12"/>
    <w:bookmarkEnd w:id="1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Folder tlenowy: edycja dla pozostałych krajów</dc:title>
  <dc:creator/>
  <cp:keywords/>
  <dcterms:created xsi:type="dcterms:W3CDTF">2026-06-04T17:04:16Z</dcterms:created>
  <dcterms:modified xsi:type="dcterms:W3CDTF">2026-06-04T17:04:16Z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