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Wytyczne dotyczące tlenoterapii w klasterowym bólu głowy</w:t>
      </w:r>
    </w:p>
    <w:bookmarkStart w:id="17" w:name="Xcda53b712a2eb0b104d6b2da93792441c8593ac"/>
    <w:p>
      <w:pPr>
        <w:pStyle w:val="Heading1"/>
      </w:pPr>
      <w:r>
        <w:t xml:space="preserve">Wytyczne dotyczące tlenoterapii w klasterowym bólu głowy</w:t>
      </w:r>
    </w:p>
    <w:p>
      <w:pPr>
        <w:pStyle w:val="FirstParagraph"/>
      </w:pPr>
      <w:r>
        <w:t xml:space="preserve">Jednostronicowe podsumowanie najważniejszych wytycznych zalecających tlen</w:t>
      </w:r>
      <w:r>
        <w:t xml:space="preserve"> </w:t>
      </w:r>
      <w:r>
        <w:t xml:space="preserve">podawany wysokim przepływem jako leczenie pierwszego rzutu w doraźnym</w:t>
      </w:r>
      <w:r>
        <w:t xml:space="preserve"> </w:t>
      </w:r>
      <w:r>
        <w:t xml:space="preserve">leczeniu klasterowego bólu głowy.</w:t>
      </w:r>
    </w:p>
    <w:bookmarkStart w:id="9" w:name="european-academy-of-neurology-ean"/>
    <w:p>
      <w:pPr>
        <w:pStyle w:val="Heading2"/>
      </w:pPr>
      <w:r>
        <w:t xml:space="preserve">European Academy of Neurology (EAN)</w:t>
      </w:r>
    </w:p>
    <w:p>
      <w:pPr>
        <w:pStyle w:val="BlockText"/>
      </w:pPr>
      <w:r>
        <w:t xml:space="preserve">“The first option for the treatment of acute attacks of cluster</w:t>
      </w:r>
      <w:r>
        <w:t xml:space="preserve"> </w:t>
      </w:r>
      <w:r>
        <w:t xml:space="preserve">headache should be subcutaneous injection of sumatriptan 6 mg or the</w:t>
      </w:r>
      <w:r>
        <w:t xml:space="preserve"> </w:t>
      </w:r>
      <w:r>
        <w:t xml:space="preserve">inhalation of 100% oxygen with at least 12 L/min over 15 min.”</w:t>
      </w:r>
    </w:p>
    <w:bookmarkEnd w:id="9"/>
    <w:bookmarkStart w:id="10" w:name="american-headache-society-ahs"/>
    <w:p>
      <w:pPr>
        <w:pStyle w:val="Heading2"/>
      </w:pPr>
      <w:r>
        <w:t xml:space="preserve">American Headache Society (AHS)</w:t>
      </w:r>
    </w:p>
    <w:p>
      <w:pPr>
        <w:pStyle w:val="FirstParagraph"/>
      </w:pPr>
      <w:r>
        <w:t xml:space="preserve">Tlen podawany wysokim przepływem (zwykle 6–12 L/min przez maskę bezzwrotną)</w:t>
      </w:r>
      <w:r>
        <w:t xml:space="preserve"> </w:t>
      </w:r>
      <w:r>
        <w:t xml:space="preserve">jest uznawany za</w:t>
      </w:r>
      <w:r>
        <w:t xml:space="preserve"> </w:t>
      </w:r>
      <w:r>
        <w:rPr>
          <w:b/>
          <w:bCs/>
        </w:rPr>
        <w:t xml:space="preserve">leczenie doraźne o poziomie rekomendacji A</w:t>
      </w:r>
      <w:r>
        <w:t xml:space="preserve"> </w:t>
      </w:r>
      <w:r>
        <w:t xml:space="preserve">w klasterowym bólu głowy.</w:t>
      </w:r>
    </w:p>
    <w:bookmarkEnd w:id="10"/>
    <w:bookmarkStart w:id="11" w:name="nice-cg150-wielka-brytania"/>
    <w:p>
      <w:pPr>
        <w:pStyle w:val="Heading2"/>
      </w:pPr>
      <w:r>
        <w:t xml:space="preserve">NICE CG150 (Wielka Brytania)</w:t>
      </w:r>
    </w:p>
    <w:p>
      <w:pPr>
        <w:pStyle w:val="BlockText"/>
      </w:pPr>
      <w:r>
        <w:t xml:space="preserve">“Offer oxygen and/or a subcutaneous or nasal triptan for the acute</w:t>
      </w:r>
      <w:r>
        <w:t xml:space="preserve"> </w:t>
      </w:r>
      <w:r>
        <w:t xml:space="preserve">treatment of cluster headache.”</w:t>
      </w:r>
    </w:p>
    <w:p>
      <w:pPr>
        <w:pStyle w:val="BlockText"/>
      </w:pPr>
      <w:r>
        <w:t xml:space="preserve">“Use 100% oxygen at a flow rate of at least 12 litres per minute with</w:t>
      </w:r>
      <w:r>
        <w:t xml:space="preserve"> </w:t>
      </w:r>
      <w:r>
        <w:t xml:space="preserve">a non‑rebreathing mask and a reservoir bag, and arrange provision of</w:t>
      </w:r>
      <w:r>
        <w:t xml:space="preserve"> </w:t>
      </w:r>
      <w:r>
        <w:t xml:space="preserve">home and ambulatory oxygen.”</w:t>
      </w:r>
    </w:p>
    <w:bookmarkEnd w:id="11"/>
    <w:bookmarkStart w:id="13" w:name="X53d40049a10b06743d648c1dbb2ebf71764e131"/>
    <w:p>
      <w:pPr>
        <w:pStyle w:val="Heading2"/>
      </w:pPr>
      <w:r>
        <w:t xml:space="preserve">NHS Scotland: Right Decisions for cluster headache</w:t>
      </w:r>
    </w:p>
    <w:p>
      <w:pPr>
        <w:pStyle w:val="FirstParagraph"/>
      </w:pPr>
      <w:r>
        <w:t xml:space="preserve">Najbardziej przystępne dla pacjenta wskazówki dotyczące przepływu tlenu</w:t>
      </w:r>
      <w:r>
        <w:t xml:space="preserve"> </w:t>
      </w:r>
      <w:r>
        <w:t xml:space="preserve">i sposobu stosowania:</w:t>
      </w:r>
    </w:p>
    <w:p>
      <w:pPr>
        <w:pStyle w:val="Compact"/>
        <w:numPr>
          <w:ilvl w:val="0"/>
          <w:numId w:val="1001"/>
        </w:numPr>
      </w:pPr>
      <w:r>
        <w:t xml:space="preserve">100% tlen z przepływem</w:t>
      </w:r>
      <w:r>
        <w:t xml:space="preserve"> </w:t>
      </w:r>
      <w:r>
        <w:rPr>
          <w:b/>
          <w:bCs/>
        </w:rPr>
        <w:t xml:space="preserve">10–15 L/min przez 15–20 minut</w:t>
      </w:r>
      <w:r>
        <w:t xml:space="preserve"> </w:t>
      </w:r>
      <w:r>
        <w:t xml:space="preserve">przez maskę</w:t>
      </w:r>
      <w:r>
        <w:t xml:space="preserve"> </w:t>
      </w:r>
      <w:r>
        <w:t xml:space="preserve">bezzwrotną.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Brak maksymalnego limitu stosowania.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Zawór na żądanie</w:t>
      </w:r>
      <w:r>
        <w:t xml:space="preserve"> </w:t>
      </w:r>
      <w:r>
        <w:t xml:space="preserve">(demand valve) dostępny na życzenie.</w:t>
      </w:r>
    </w:p>
    <w:p>
      <w:pPr>
        <w:pStyle w:val="FirstParagraph"/>
      </w:pPr>
      <w:hyperlink r:id="rId12">
        <w:r>
          <w:rPr>
            <w:rStyle w:val="Hyperlink"/>
          </w:rPr>
          <w:t xml:space="preserve">https://www.rightdecisions.scot.nhs.uk/neurology-pathways/headache/9-cluster-headache-guidance/</w:t>
        </w:r>
      </w:hyperlink>
    </w:p>
    <w:bookmarkEnd w:id="13"/>
    <w:bookmarkStart w:id="15" w:name="usa-medicare-lcd-l33797"/>
    <w:p>
      <w:pPr>
        <w:pStyle w:val="Heading2"/>
      </w:pPr>
      <w:r>
        <w:t xml:space="preserve">USA: Medicare LCD L33797</w:t>
      </w:r>
    </w:p>
    <w:p>
      <w:pPr>
        <w:pStyle w:val="FirstParagraph"/>
      </w:pPr>
      <w:r>
        <w:t xml:space="preserve">Klasterowy ból głowy jest wymieniony jako schorzenie kwalifikujące się do</w:t>
      </w:r>
      <w:r>
        <w:t xml:space="preserve"> </w:t>
      </w:r>
      <w:r>
        <w:rPr>
          <w:b/>
          <w:bCs/>
        </w:rPr>
        <w:t xml:space="preserve">Grupy III</w:t>
      </w:r>
      <w:r>
        <w:t xml:space="preserve"> </w:t>
      </w:r>
      <w:r>
        <w:t xml:space="preserve">dla tlenoterapii domowej w Medicare Local Coverage</w:t>
      </w:r>
      <w:r>
        <w:t xml:space="preserve"> </w:t>
      </w:r>
      <w:r>
        <w:t xml:space="preserve">Determination L33797. Umieszczono tutaj jako odniesienie; dokumentacja</w:t>
      </w:r>
      <w:r>
        <w:t xml:space="preserve"> </w:t>
      </w:r>
      <w:r>
        <w:t xml:space="preserve">uzupełniająca LCD znajduje się w pakiecie dla USA.</w:t>
      </w:r>
    </w:p>
    <w:p>
      <w:pPr>
        <w:pStyle w:val="BodyText"/>
      </w:pPr>
      <w:hyperlink r:id="rId14">
        <w:r>
          <w:rPr>
            <w:rStyle w:val="Hyperlink"/>
          </w:rPr>
          <w:t xml:space="preserve">https://www.cms.gov/medicare-coverage-database/view/lcd.aspx?lcdid=33797</w:t>
        </w:r>
      </w:hyperlink>
    </w:p>
    <w:bookmarkEnd w:id="15"/>
    <w:bookmarkStart w:id="16" w:name="poszukaj-lokalnych-wytycznych"/>
    <w:p>
      <w:pPr>
        <w:pStyle w:val="Heading2"/>
      </w:pPr>
      <w:r>
        <w:t xml:space="preserve">Poszukaj lokalnych wytycznych</w:t>
      </w:r>
    </w:p>
    <w:p>
      <w:pPr>
        <w:pStyle w:val="FirstParagraph"/>
      </w:pPr>
      <w:r>
        <w:t xml:space="preserve">Jeżeli w danym kraju istnieje krajowe towarzystwo bólów głowy lub organ</w:t>
      </w:r>
      <w:r>
        <w:t xml:space="preserve"> </w:t>
      </w:r>
      <w:r>
        <w:t xml:space="preserve">medyczny, który opublikował wytyczne dotyczące klasterowego bólu głowy,</w:t>
      </w:r>
      <w:r>
        <w:t xml:space="preserve"> </w:t>
      </w:r>
      <w:r>
        <w:t xml:space="preserve">warto powołać się także na ten dokument. Przykłady (lista niewyczerpująca):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Niemcy:</w:t>
      </w:r>
      <w:r>
        <w:t xml:space="preserve"> </w:t>
      </w:r>
      <w:r>
        <w:t xml:space="preserve">Deutsche Migräne- und Kopfschmerzgesellschaft (DMKG).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Francja:</w:t>
      </w:r>
      <w:r>
        <w:t xml:space="preserve"> </w:t>
      </w:r>
      <w:r>
        <w:t xml:space="preserve">Société Française d’Étude des Migraines et Céphalées</w:t>
      </w:r>
      <w:r>
        <w:t xml:space="preserve"> </w:t>
      </w:r>
      <w:r>
        <w:t xml:space="preserve">(SFEMC).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Włochy:</w:t>
      </w:r>
      <w:r>
        <w:t xml:space="preserve"> </w:t>
      </w:r>
      <w:r>
        <w:t xml:space="preserve">Società Italiana per lo Studio delle Cefalee (SISC).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Hiszpania:</w:t>
      </w:r>
      <w:r>
        <w:t xml:space="preserve"> </w:t>
      </w:r>
      <w:r>
        <w:t xml:space="preserve">Sociedad Española de Neurología (SEN).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Kanada:</w:t>
      </w:r>
      <w:r>
        <w:t xml:space="preserve"> </w:t>
      </w:r>
      <w:r>
        <w:t xml:space="preserve">Canadian Headache Society.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Australia / Nowa Zelandia:</w:t>
      </w:r>
      <w:r>
        <w:t xml:space="preserve"> </w:t>
      </w:r>
      <w:r>
        <w:t xml:space="preserve">Neurology Society of Australia.</w:t>
      </w:r>
    </w:p>
    <w:p>
      <w:pPr>
        <w:pStyle w:val="FirstParagraph"/>
      </w:pPr>
      <w:r>
        <w:t xml:space="preserve">Większość krajowych towarzystw bólów głowy popiera stanowisko EAN i / lub</w:t>
      </w:r>
      <w:r>
        <w:t xml:space="preserve"> </w:t>
      </w:r>
      <w:r>
        <w:t xml:space="preserve">AHS, uznające tlen za leczenie doraźne pierwszego rzutu.</w:t>
      </w:r>
    </w:p>
    <w:bookmarkEnd w:id="16"/>
    <w:bookmarkEnd w:id="17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Relationship Type="http://schemas.openxmlformats.org/officeDocument/2006/relationships/hyperlink" Id="rId14" Target="https://www.cms.gov/medicare-coverage-database/view/lcd.aspx?lcdid=33797" TargetMode="External" /><Relationship Type="http://schemas.openxmlformats.org/officeDocument/2006/relationships/hyperlink" Id="rId12" Target="https://www.rightdecisions.scot.nhs.uk/neurology-pathways/headache/9-cluster-headache-guidance/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4" Target="https://www.cms.gov/medicare-coverage-database/view/lcd.aspx?lcdid=33797" TargetMode="External" /><Relationship Type="http://schemas.openxmlformats.org/officeDocument/2006/relationships/hyperlink" Id="rId12" Target="https://www.rightdecisions.scot.nhs.uk/neurology-pathways/headache/9-cluster-headache-guidance/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dotyczące tlenoterapii w klasterowym bólu głowy</dc:title>
  <dc:creator/>
  <cp:keywords/>
  <dcterms:created xsi:type="dcterms:W3CDTF">2026-06-04T17:04:16Z</dcterms:created>
  <dcterms:modified xsi:type="dcterms:W3CDTF">2026-06-04T17:04:16Z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