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Pismo o zasadności medycznej: wzór dla lekarza wystawiającego receptę</w:t>
      </w:r>
    </w:p>
    <w:bookmarkStart w:id="14" w:name="pismo-o-zasadności-medycznej"/>
    <w:p>
      <w:pPr>
        <w:pStyle w:val="Heading1"/>
      </w:pPr>
      <w:r>
        <w:t xml:space="preserve">Pismo o zasadności medycznej</w:t>
      </w:r>
    </w:p>
    <w:p>
      <w:pPr>
        <w:pStyle w:val="FirstParagraph"/>
      </w:pPr>
      <w:r>
        <w:rPr>
          <w:i/>
          <w:iCs/>
        </w:rPr>
        <w:t xml:space="preserve">To wzór dla lekarza wystawiającego receptę. Należy uzupełnić pola w nawiasach kwadratowych, podpisać i opatrzyć datą.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[Papier firmowy placówki]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[Data]</w:t>
      </w:r>
    </w:p>
    <w:p>
      <w:pPr>
        <w:pStyle w:val="BodyText"/>
      </w:pPr>
      <w:r>
        <w:rPr>
          <w:b/>
          <w:bCs/>
        </w:rPr>
        <w:t xml:space="preserve">Do wszystkich zainteresowanych</w:t>
      </w:r>
      <w:r>
        <w:t xml:space="preserve"> </w:t>
      </w:r>
      <w:r>
        <w:t xml:space="preserve">(Dostawca i/lub płatnik)</w:t>
      </w:r>
    </w:p>
    <w:p>
      <w:r>
        <w:pict>
          <v:rect style="width:0;height:1.5pt" o:hralign="center" o:hrstd="t" o:hr="t"/>
        </w:pict>
      </w:r>
    </w:p>
    <w:bookmarkStart w:id="13" w:name="X189a98f75e62b0e3cacca69e3a39e27565a968c"/>
    <w:p>
      <w:pPr>
        <w:pStyle w:val="Heading2"/>
      </w:pPr>
      <w:r>
        <w:t xml:space="preserve">Dot.: [Imię i nazwisko pacjenta], data urodzenia [Data urodzenia], zasadność medyczna domowej tlenoterapii wysokim przepływem</w:t>
      </w:r>
    </w:p>
    <w:p>
      <w:pPr>
        <w:pStyle w:val="FirstParagraph"/>
      </w:pPr>
      <w:r>
        <w:t xml:space="preserve">Jestem lekarzem prowadzącym pacjenta/pacjentkę [Imię i nazwisko pacjenta], u którego/której potwierdzono rozpoznanie klasterowego bólu głowy [postać epizodyczna / postać przewlekła] (ICD-10 G44.0[__]). Domowa tlenoterapia wysokim przepływem jest medycznie zasadna w celu przerywania napadów u tego pacjenta/tej pacjentki oraz zachowania codziennego funkcjonowania.</w:t>
      </w:r>
    </w:p>
    <w:bookmarkStart w:id="9" w:name="podsumowanie-kliniczne"/>
    <w:p>
      <w:pPr>
        <w:pStyle w:val="Heading3"/>
      </w:pPr>
      <w:r>
        <w:t xml:space="preserve">Podsumowanie kliniczne</w:t>
      </w:r>
    </w:p>
    <w:p>
      <w:pPr>
        <w:pStyle w:val="FirstParagraph"/>
      </w:pPr>
      <w:r>
        <w:t xml:space="preserve">Pacjent/pacjentka [Imię i nazwisko pacjenta] spełnia kryteria ICHD-3 dla klasterowego bólu głowy: [N] napadów dziennie, każdy trwający [czas trwania] minut, z silnym jednostronnym bólem w okolicy oczodołu lub skroni, któremu towarzyszą ipsilateralne objawy autonomiczne (łzawienie, przekrwienie spojówek, wyciek z nosa, niedrożność nosa, obrzęk powieki i/lub niepokój ruchowy w czasie napadu). [Dodać schemat i czas trwania klasteru, jeśli istotne.]</w:t>
      </w:r>
    </w:p>
    <w:p>
      <w:pPr>
        <w:pStyle w:val="BodyText"/>
      </w:pPr>
      <w:r>
        <w:t xml:space="preserve">Wpływ na funkcjonowanie: napady spowodowały [nieobecność w pracy / zaburzenia snu / niemożność prowadzenia pojazdu / wizyty na szpitalnym oddziale ratunkowym; doprecyzować].</w:t>
      </w:r>
    </w:p>
    <w:p>
      <w:pPr>
        <w:pStyle w:val="BodyText"/>
      </w:pPr>
      <w:r>
        <w:t xml:space="preserve">[Stosowane leczenie doraźne: lek, dawka, daty, odpowiedź, działania niepożądane. Szczególnie istotne, jeżeli wymagane jest tzw. step therapy.]</w:t>
      </w:r>
    </w:p>
    <w:bookmarkEnd w:id="9"/>
    <w:bookmarkStart w:id="10" w:name="dlaczego-tlen-i-dlaczego-wysoki-przepływ"/>
    <w:p>
      <w:pPr>
        <w:pStyle w:val="Heading3"/>
      </w:pPr>
      <w:r>
        <w:t xml:space="preserve">Dlaczego tlen i dlaczego wysoki przepływ</w:t>
      </w:r>
    </w:p>
    <w:p>
      <w:pPr>
        <w:pStyle w:val="FirstParagraph"/>
      </w:pPr>
      <w:r>
        <w:t xml:space="preserve">Tlen podawany wysokim przepływem przez maskę bezzwrotną jest uznawany za leczenie pierwszego wyboru w doraźnym leczeniu klasterowego bólu głowy w głównych wytycznych: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“The first option for the treatment of acute attacks of cluster headache should be subcutaneous injection of sumatriptan 6 mg or the inhalation of 100% oxygen with at least 12 L/min over 15 min.”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American Headache Society (AHS).</w:t>
      </w:r>
      <w:r>
        <w:t xml:space="preserve"> </w:t>
      </w:r>
      <w:r>
        <w:t xml:space="preserve">Leczenie doraźne klasy A.</w:t>
      </w:r>
    </w:p>
    <w:p>
      <w:pPr>
        <w:pStyle w:val="Compact"/>
        <w:numPr>
          <w:ilvl w:val="0"/>
          <w:numId w:val="1001"/>
        </w:numPr>
      </w:pPr>
      <w:r>
        <w:t xml:space="preserve">[Dodać lokalne wytyczne krajowe, jeśli dotyczy.]</w:t>
      </w:r>
    </w:p>
    <w:p>
      <w:pPr>
        <w:pStyle w:val="FirstParagraph"/>
      </w:pPr>
      <w:r>
        <w:t xml:space="preserve">Baza dowodów obejmuje: Cohen et al. (JAMA, 2009) — randomizowane, podwójnie zaślepione, kontrolowane placebo badanie wykazujące ustąpienie bólu po 15 minutach w 78% napadów leczonych tlenem względem 20% w grupie placebo; Medrea et al. (Journal of Headache and Pain, 2022) — sieciową metaanalizę 13 RCT, w której tlen podawany wysokim przepływem został oceniony jako najskuteczniejsze leczenie doraźne; oraz Robbins et al.,</w:t>
      </w:r>
      <w:r>
        <w:t xml:space="preserve"> </w:t>
      </w:r>
      <w:r>
        <w:rPr>
          <w:i/>
          <w:iCs/>
        </w:rPr>
        <w:t xml:space="preserve">Treatment of Cluster Headache: The American Headache Society Evidence-Based Guidelines</w:t>
      </w:r>
      <w:r>
        <w:t xml:space="preserve"> </w:t>
      </w:r>
      <w:r>
        <w:t xml:space="preserve">(Headache, 2016;56:1093–1106), klasyfikującą tlen podawany wysokim przepływem jako leczenie doraźne klasy A.</w:t>
      </w:r>
    </w:p>
    <w:bookmarkEnd w:id="10"/>
    <w:bookmarkStart w:id="11" w:name="zalecenia"/>
    <w:p>
      <w:pPr>
        <w:pStyle w:val="Heading3"/>
      </w:pPr>
      <w:r>
        <w:t xml:space="preserve">Zalecenia</w:t>
      </w:r>
    </w:p>
    <w:p>
      <w:pPr>
        <w:pStyle w:val="Compact"/>
        <w:numPr>
          <w:ilvl w:val="0"/>
          <w:numId w:val="1002"/>
        </w:numPr>
      </w:pPr>
      <w:r>
        <w:t xml:space="preserve">100% tlen, 15 L/min przez maskę bezzwrotną, do 20 minut na napad, w razie potrzeby (PRN, częstotliwość określona przez liczbę napadów dziennie).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Jedna duża butla domowa oraz jedna butla przenośna.</w:t>
      </w:r>
      <w:r>
        <w:t xml:space="preserve"> </w:t>
      </w:r>
      <w:r>
        <w:t xml:space="preserve">Pacjent/pacjentka wymaga obu: butli domowej do napadów nocnych i w domu oraz butli przenośnej do napadów występujących w pracy lub poza domem. Napady są nieprzewidywalne i nie można ich odroczyć.</w:t>
      </w:r>
    </w:p>
    <w:p>
      <w:pPr>
        <w:pStyle w:val="Compact"/>
        <w:numPr>
          <w:ilvl w:val="0"/>
          <w:numId w:val="1002"/>
        </w:numPr>
      </w:pPr>
      <w:r>
        <w:t xml:space="preserve">Maska bezzwrotna z drenem.</w:t>
      </w:r>
    </w:p>
    <w:p>
      <w:pPr>
        <w:pStyle w:val="Compact"/>
        <w:numPr>
          <w:ilvl w:val="0"/>
          <w:numId w:val="1002"/>
        </w:numPr>
      </w:pPr>
      <w:r>
        <w:t xml:space="preserve">[Dodać specyfikację zaworu na żądanie, jeśli zalecony.]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Czas trwania zapotrzebowania:</w:t>
      </w:r>
      <w:r>
        <w:t xml:space="preserve"> </w:t>
      </w:r>
      <w:r>
        <w:t xml:space="preserve">12 miesięcy, kontynuowane. Klasterowy ból głowy jest schorzeniem przewlekłym na całe życie, z aktywnymi klasterami nawracającymi bezterminowo.</w:t>
      </w:r>
    </w:p>
    <w:bookmarkEnd w:id="11"/>
    <w:bookmarkStart w:id="12" w:name="dlaczego-jest-to-medycznie-zasadne"/>
    <w:p>
      <w:pPr>
        <w:pStyle w:val="Heading3"/>
      </w:pPr>
      <w:r>
        <w:t xml:space="preserve">Dlaczego jest to medycznie zasadne</w:t>
      </w:r>
    </w:p>
    <w:p>
      <w:pPr>
        <w:pStyle w:val="FirstParagraph"/>
      </w:pPr>
      <w:r>
        <w:t xml:space="preserve">Bez skutecznego leczenia doraźnego pacjent/pacjentka odczuwa silny, obezwładniający ból wielokrotnie w ciągu dnia, co istotnie wpływa na sen, funkcjonowanie i jakość życia. Tryptany — drugie uznane leczenie doraźne pierwszego wyboru — są u tego pacjenta/tej pacjentki niewskazane: [przeciwwskazane z uwagi na ryzyko sercowo-naczyniowe / chorobę niedokrwienną serca / niekontrolowane nadciśnienie tętnicze],</w:t>
      </w:r>
      <w:r>
        <w:t xml:space="preserve"> </w:t>
      </w:r>
      <w:r>
        <w:rPr>
          <w:i/>
          <w:iCs/>
        </w:rPr>
        <w:t xml:space="preserve">lub</w:t>
      </w:r>
      <w:r>
        <w:t xml:space="preserve"> </w:t>
      </w:r>
      <w:r>
        <w:t xml:space="preserve">[próbowane i nieskuteczne: lek, dawka, daty],</w:t>
      </w:r>
      <w:r>
        <w:t xml:space="preserve"> </w:t>
      </w:r>
      <w:r>
        <w:rPr>
          <w:i/>
          <w:iCs/>
        </w:rPr>
        <w:t xml:space="preserve">lub</w:t>
      </w:r>
      <w:r>
        <w:t xml:space="preserve"> </w:t>
      </w:r>
      <w:r>
        <w:t xml:space="preserve">[źle tolerowane: działania niepożądane].</w:t>
      </w:r>
    </w:p>
    <w:p>
      <w:pPr>
        <w:pStyle w:val="BodyText"/>
      </w:pPr>
      <w:r>
        <w:t xml:space="preserve">Tlen nie wywołuje ogólnoustrojowych działań niepożądanych, nie wchodzi w interakcje lekowe i nie ma przeciwwskazań w wywiadzie u tego pacjenta/tej pacjentki. Jest to najbezpieczniejsza dostępna opcja leczenia doraźnego dla tego pacjenta/tej pacjentki.</w:t>
      </w:r>
    </w:p>
    <w:p>
      <w:pPr>
        <w:pStyle w:val="BodyText"/>
      </w:pPr>
      <w:r>
        <w:t xml:space="preserve">Potwierdzam, że domowa tlenoterapia wysokim przepływem jest medycznie zasadna dla pacjenta/pacjentki [Imię i nazwisko pacjenta].</w:t>
      </w:r>
    </w:p>
    <w:p>
      <w:pPr>
        <w:pStyle w:val="BodyText"/>
      </w:pPr>
      <w:r>
        <w:t xml:space="preserve">Z poważaniem,</w:t>
      </w:r>
    </w:p>
    <w:p>
      <w:pPr>
        <w:pStyle w:val="BodyText"/>
      </w:pPr>
      <w:r>
        <w:rPr>
          <w:b/>
          <w:bCs/>
        </w:rPr>
        <w:t xml:space="preserve">[Imię i nazwisko lekarza]</w:t>
      </w:r>
      <w:r>
        <w:t xml:space="preserve"> </w:t>
      </w:r>
      <w:r>
        <w:rPr>
          <w:b/>
          <w:bCs/>
        </w:rPr>
        <w:t xml:space="preserve">[Tytuł / specjalizacja]</w:t>
      </w:r>
      <w:r>
        <w:t xml:space="preserve"> </w:t>
      </w:r>
      <w:r>
        <w:rPr>
          <w:b/>
          <w:bCs/>
        </w:rPr>
        <w:t xml:space="preserve">[Numer prawa wykonywania zawodu]</w:t>
      </w:r>
      <w:r>
        <w:t xml:space="preserve"> </w:t>
      </w:r>
      <w:r>
        <w:rPr>
          <w:b/>
          <w:bCs/>
        </w:rPr>
        <w:t xml:space="preserve">[Podpis]</w:t>
      </w:r>
      <w:r>
        <w:t xml:space="preserve"> </w:t>
      </w:r>
      <w:r>
        <w:rPr>
          <w:b/>
          <w:bCs/>
        </w:rPr>
        <w:t xml:space="preserve">[Data]</w:t>
      </w:r>
    </w:p>
    <w:bookmarkEnd w:id="12"/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o zasadności medycznej: wzór dla lekarza wystawiającego receptę</dc:title>
  <dc:creator/>
  <cp:keywords/>
  <dcterms:created xsi:type="dcterms:W3CDTF">2026-06-04T17:04:16Z</dcterms:created>
  <dcterms:modified xsi:type="dcterms:W3CDTF">2026-06-04T17:04:16Z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