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Wniosek o receptę</w:t>
      </w:r>
    </w:p>
    <w:p>
      <w:pPr>
        <w:pStyle w:val="FirstParagraph"/>
      </w:pPr>
      <w:r>
        <w:rPr>
          <w:b/>
          <w:bCs/>
        </w:rPr>
        <w:t xml:space="preserve">[Imię i nazwisko]</w:t>
      </w:r>
      <w:r>
        <w:t xml:space="preserve"> </w:t>
      </w:r>
      <w:r>
        <w:rPr>
          <w:b/>
          <w:bCs/>
        </w:rPr>
        <w:t xml:space="preserve">[Adres]</w:t>
      </w:r>
      <w:r>
        <w:t xml:space="preserve"> </w:t>
      </w:r>
      <w:r>
        <w:rPr>
          <w:b/>
          <w:bCs/>
        </w:rPr>
        <w:t xml:space="preserve">[Numer telefonu]</w:t>
      </w:r>
      <w:r>
        <w:t xml:space="preserve"> </w:t>
      </w:r>
      <w:r>
        <w:rPr>
          <w:b/>
          <w:bCs/>
        </w:rPr>
        <w:t xml:space="preserve">[Adres e-mail]</w:t>
      </w:r>
    </w:p>
    <w:p>
      <w:pPr>
        <w:pStyle w:val="BodyText"/>
      </w:pPr>
      <w:r>
        <w:rPr>
          <w:b/>
          <w:bCs/>
        </w:rPr>
        <w:t xml:space="preserve">Data:</w:t>
      </w:r>
      <w:r>
        <w:t xml:space="preserve"> </w:t>
      </w:r>
      <w:r>
        <w:t xml:space="preserve">[Data]</w:t>
      </w:r>
    </w:p>
    <w:p>
      <w:pPr>
        <w:pStyle w:val="BodyText"/>
      </w:pPr>
      <w:r>
        <w:rPr>
          <w:b/>
          <w:bCs/>
        </w:rPr>
        <w:t xml:space="preserve">Do:</w:t>
      </w:r>
      <w:r>
        <w:t xml:space="preserve"> </w:t>
      </w:r>
      <w:r>
        <w:t xml:space="preserve">dr [Nazwisko]</w:t>
      </w:r>
      <w:r>
        <w:t xml:space="preserve"> </w:t>
      </w:r>
      <w:r>
        <w:t xml:space="preserve">[Nazwa przychodni]</w:t>
      </w:r>
      <w:r>
        <w:t xml:space="preserve"> </w:t>
      </w:r>
      <w:r>
        <w:t xml:space="preserve">[Adres przychodni]</w:t>
      </w:r>
    </w:p>
    <w:p>
      <w:r>
        <w:pict>
          <v:rect style="width:0;height:1.5pt" o:hralign="center" o:hrstd="t" o:hr="t"/>
        </w:pict>
      </w:r>
    </w:p>
    <w:bookmarkStart w:id="12" w:name="Xf7adc2669d8a840c325b6c80fefaaf4f62cda65"/>
    <w:p>
      <w:pPr>
        <w:pStyle w:val="Heading2"/>
      </w:pPr>
      <w:r>
        <w:t xml:space="preserve">Dot.: prośba o receptę na tlenoterapię wysokoprzepływową w klasterowym bólu głowy</w:t>
      </w:r>
    </w:p>
    <w:p>
      <w:pPr>
        <w:pStyle w:val="FirstParagraph"/>
      </w:pPr>
      <w:r>
        <w:t xml:space="preserve">Szanowna Pani Doktor / Szanowny Panie Doktorze [Nazwisko],</w:t>
      </w:r>
    </w:p>
    <w:p>
      <w:pPr>
        <w:pStyle w:val="BodyText"/>
      </w:pPr>
      <w:r>
        <w:t xml:space="preserve">Zwracam się z prośbą o rozważenie wypisania recepty na tlen podawany</w:t>
      </w:r>
      <w:r>
        <w:t xml:space="preserve"> </w:t>
      </w:r>
      <w:r>
        <w:t xml:space="preserve">wysokim przepływem w celu przerywania moich napadów klasterowego bólu</w:t>
      </w:r>
      <w:r>
        <w:t xml:space="preserve"> </w:t>
      </w:r>
      <w:r>
        <w:t xml:space="preserve">głowy. Poniżej znajduje się krótkie podsumowanie dowodów naukowych</w:t>
      </w:r>
      <w:r>
        <w:t xml:space="preserve"> </w:t>
      </w:r>
      <w:r>
        <w:t xml:space="preserve">i międzynarodowych wytycznych przemawiających za stosowaniem tlenu</w:t>
      </w:r>
      <w:r>
        <w:t xml:space="preserve"> </w:t>
      </w:r>
      <w:r>
        <w:t xml:space="preserve">w klasterowym bólu głowy, opis przebiegu moich napadów oraz konkretna</w:t>
      </w:r>
      <w:r>
        <w:t xml:space="preserve"> </w:t>
      </w:r>
      <w:r>
        <w:t xml:space="preserve">treść recepty, o którą proszę.</w:t>
      </w:r>
    </w:p>
    <w:p>
      <w:pPr>
        <w:pStyle w:val="BodyText"/>
      </w:pPr>
      <w:r>
        <w:t xml:space="preserve">Wraz z niniejszym pismem załączam również: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Wzory recept</w:t>
      </w:r>
      <w:r>
        <w:t xml:space="preserve"> </w:t>
      </w:r>
      <w:r>
        <w:t xml:space="preserve">na maskę bezzwrotną oraz na zawór na żądanie</w:t>
      </w:r>
      <w:r>
        <w:t xml:space="preserve"> </w:t>
      </w:r>
      <w:r>
        <w:t xml:space="preserve">(demand valve), które można wykorzystać jako punkt wyjścia</w:t>
      </w:r>
      <w:r>
        <w:t xml:space="preserve"> </w:t>
      </w:r>
      <w:r>
        <w:t xml:space="preserve">i zmodyfikować.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Wzór pisma o zasadności medycznej</w:t>
      </w:r>
      <w:r>
        <w:t xml:space="preserve"> </w:t>
      </w:r>
      <w:r>
        <w:t xml:space="preserve">na wypadek, gdyby płatnik</w:t>
      </w:r>
      <w:r>
        <w:t xml:space="preserve"> </w:t>
      </w:r>
      <w:r>
        <w:t xml:space="preserve">lub dostawca lokalny zakwestionował receptę.</w:t>
      </w:r>
    </w:p>
    <w:p>
      <w:pPr>
        <w:pStyle w:val="Compact"/>
        <w:numPr>
          <w:ilvl w:val="0"/>
          <w:numId w:val="1001"/>
        </w:numPr>
      </w:pPr>
      <w:r>
        <w:t xml:space="preserve">Jednostronicowe</w:t>
      </w:r>
      <w:r>
        <w:t xml:space="preserve"> </w:t>
      </w:r>
      <w:r>
        <w:rPr>
          <w:b/>
          <w:bCs/>
        </w:rPr>
        <w:t xml:space="preserve">podsumowanie najważniejszych wytycznych</w:t>
      </w:r>
      <w:r>
        <w:rPr>
          <w:b/>
          <w:bCs/>
        </w:rPr>
        <w:t xml:space="preserve"> </w:t>
      </w:r>
      <w:r>
        <w:rPr>
          <w:b/>
          <w:bCs/>
        </w:rPr>
        <w:t xml:space="preserve">międzynarodowych</w:t>
      </w:r>
      <w:r>
        <w:t xml:space="preserve"> </w:t>
      </w:r>
      <w:r>
        <w:t xml:space="preserve">oraz jednostronicowe</w:t>
      </w:r>
      <w:r>
        <w:t xml:space="preserve"> </w:t>
      </w:r>
      <w:r>
        <w:rPr>
          <w:b/>
          <w:bCs/>
        </w:rPr>
        <w:t xml:space="preserve">podsumowania kluczowych</w:t>
      </w:r>
      <w:r>
        <w:rPr>
          <w:b/>
          <w:bCs/>
        </w:rPr>
        <w:t xml:space="preserve"> </w:t>
      </w:r>
      <w:r>
        <w:rPr>
          <w:b/>
          <w:bCs/>
        </w:rPr>
        <w:t xml:space="preserve">badań</w:t>
      </w:r>
      <w:r>
        <w:t xml:space="preserve">.</w:t>
      </w:r>
    </w:p>
    <w:bookmarkStart w:id="9" w:name="X3e03fd60504e25d34fce32e41ce234a3d366fe8"/>
    <w:p>
      <w:pPr>
        <w:pStyle w:val="Heading3"/>
      </w:pPr>
      <w:r>
        <w:t xml:space="preserve">Dlaczego tlen podawany wysokim przepływem</w:t>
      </w:r>
    </w:p>
    <w:p>
      <w:pPr>
        <w:pStyle w:val="FirstParagraph"/>
      </w:pPr>
      <w:r>
        <w:t xml:space="preserve">Wdychany tlen podawany wysokim przepływem przez maskę bezzwrotną</w:t>
      </w:r>
      <w:r>
        <w:t xml:space="preserve"> </w:t>
      </w:r>
      <w:r>
        <w:t xml:space="preserve">(z workiem rezerwuarowym) jest rekomendowanym w wytycznych leczeniem</w:t>
      </w:r>
      <w:r>
        <w:t xml:space="preserve"> </w:t>
      </w:r>
      <w:r>
        <w:t xml:space="preserve">doraźnym pierwszego rzutu w klasterowym bólu głowy. Najważniejsze</w:t>
      </w:r>
      <w:r>
        <w:t xml:space="preserve"> </w:t>
      </w:r>
      <w:r>
        <w:t xml:space="preserve">dowody: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Cohen et al., 2009 (JAMA).</w:t>
      </w:r>
      <w:r>
        <w:t xml:space="preserve"> </w:t>
      </w:r>
      <w:r>
        <w:t xml:space="preserve">Randomizowane badanie z podwójnie</w:t>
      </w:r>
      <w:r>
        <w:t xml:space="preserve"> </w:t>
      </w:r>
      <w:r>
        <w:t xml:space="preserve">ślepą próbą i kontrolą placebo. 78% napadów ustąpiło bez bólu</w:t>
      </w:r>
      <w:r>
        <w:t xml:space="preserve"> </w:t>
      </w:r>
      <w:r>
        <w:t xml:space="preserve">w ciągu 15 minut przy 100% tlenie podawanym z przepływem 15 L/min,</w:t>
      </w:r>
      <w:r>
        <w:t xml:space="preserve"> </w:t>
      </w:r>
      <w:r>
        <w:t xml:space="preserve">w porównaniu z 20% w grupie placebo (powietrze).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Medrea et al., 2022 (Journal of Headache and Pain).</w:t>
      </w:r>
      <w:r>
        <w:t xml:space="preserve"> </w:t>
      </w:r>
      <w:r>
        <w:t xml:space="preserve">Metaanaliza</w:t>
      </w:r>
      <w:r>
        <w:t xml:space="preserve"> </w:t>
      </w:r>
      <w:r>
        <w:t xml:space="preserve">sieciowa 13 randomizowanych badań klinicznych. Tlen podawany wysokim</w:t>
      </w:r>
      <w:r>
        <w:t xml:space="preserve"> </w:t>
      </w:r>
      <w:r>
        <w:t xml:space="preserve">przepływem zajął pierwsze miejsce wśród metod leczenia doraźnego</w:t>
      </w:r>
      <w:r>
        <w:t xml:space="preserve"> </w:t>
      </w:r>
      <w:r>
        <w:t xml:space="preserve">(OR 9,0 vs placebo), z skutecznością porównywalną do sumatriptan</w:t>
      </w:r>
      <w:r>
        <w:t xml:space="preserve"> </w:t>
      </w:r>
      <w:r>
        <w:t xml:space="preserve">w iniekcji i przewyższającą wszystkie inne badane terapie. Autorzy</w:t>
      </w:r>
      <w:r>
        <w:t xml:space="preserve"> </w:t>
      </w:r>
      <w:r>
        <w:t xml:space="preserve">zauważają:</w:t>
      </w:r>
      <w:r>
        <w:t xml:space="preserve"> </w:t>
      </w:r>
      <w:r>
        <w:rPr>
          <w:i/>
          <w:iCs/>
        </w:rPr>
        <w:t xml:space="preserve">“when low flow oxygen fails in patients who can tolerate oxygen,</w:t>
      </w:r>
      <w:r>
        <w:rPr>
          <w:i/>
          <w:iCs/>
        </w:rPr>
        <w:t xml:space="preserve"> </w:t>
      </w:r>
      <w:r>
        <w:rPr>
          <w:i/>
          <w:iCs/>
        </w:rPr>
        <w:t xml:space="preserve">increased flow rates should be tried.”</w:t>
      </w:r>
    </w:p>
    <w:p>
      <w:pPr>
        <w:pStyle w:val="FirstParagraph"/>
      </w:pPr>
      <w:r>
        <w:t xml:space="preserve">Wytyczne międzynarodowe rekomendujące tlen jako leczenie doraźne</w:t>
      </w:r>
      <w:r>
        <w:t xml:space="preserve"> </w:t>
      </w:r>
      <w:r>
        <w:t xml:space="preserve">pierwszego rzutu w klasterowym bólu głowy:</w:t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European Academy of Neurology (EAN):</w:t>
      </w:r>
      <w:r>
        <w:t xml:space="preserve"> </w:t>
      </w:r>
      <w:r>
        <w:rPr>
          <w:i/>
          <w:iCs/>
        </w:rPr>
        <w:t xml:space="preserve">“The first option for the</w:t>
      </w:r>
      <w:r>
        <w:rPr>
          <w:i/>
          <w:iCs/>
        </w:rPr>
        <w:t xml:space="preserve"> </w:t>
      </w:r>
      <w:r>
        <w:rPr>
          <w:i/>
          <w:iCs/>
        </w:rPr>
        <w:t xml:space="preserve">treatment of acute attacks of cluster headache should be subcutaneous</w:t>
      </w:r>
      <w:r>
        <w:rPr>
          <w:i/>
          <w:iCs/>
        </w:rPr>
        <w:t xml:space="preserve"> </w:t>
      </w:r>
      <w:r>
        <w:rPr>
          <w:i/>
          <w:iCs/>
        </w:rPr>
        <w:t xml:space="preserve">injection of sumatriptan 6 mg or the inhalation of 100% oxygen with</w:t>
      </w:r>
      <w:r>
        <w:rPr>
          <w:i/>
          <w:iCs/>
        </w:rPr>
        <w:t xml:space="preserve"> </w:t>
      </w:r>
      <w:r>
        <w:rPr>
          <w:i/>
          <w:iCs/>
        </w:rPr>
        <w:t xml:space="preserve">at least 12 L/min over 15 min.”</w:t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American Headache Society (AHS).</w:t>
      </w:r>
      <w:r>
        <w:t xml:space="preserve"> </w:t>
      </w:r>
      <w:r>
        <w:t xml:space="preserve">Leczenie doraźne poziomu A.</w:t>
      </w:r>
    </w:p>
    <w:p>
      <w:pPr>
        <w:pStyle w:val="FirstParagraph"/>
      </w:pPr>
      <w:r>
        <w:t xml:space="preserve">[Jeżeli istnieje krajowa wytyczna lokalna rekomendująca tlen, należy</w:t>
      </w:r>
      <w:r>
        <w:t xml:space="preserve"> </w:t>
      </w:r>
      <w:r>
        <w:t xml:space="preserve">dodać ją tutaj.]</w:t>
      </w:r>
    </w:p>
    <w:p>
      <w:pPr>
        <w:pStyle w:val="BodyText"/>
      </w:pPr>
      <w:r>
        <w:t xml:space="preserve">Wspólne stanowisko AHS / American Migraine Foundation w sprawie</w:t>
      </w:r>
      <w:r>
        <w:t xml:space="preserve"> </w:t>
      </w:r>
      <w:r>
        <w:t xml:space="preserve">tlenoterapii w klasterowym bólu głowy dodaje, że tlen jest</w:t>
      </w:r>
      <w:r>
        <w:t xml:space="preserve"> </w:t>
      </w:r>
      <w:r>
        <w:rPr>
          <w:i/>
          <w:iCs/>
        </w:rPr>
        <w:t xml:space="preserve">“particularly</w:t>
      </w:r>
      <w:r>
        <w:rPr>
          <w:i/>
          <w:iCs/>
        </w:rPr>
        <w:t xml:space="preserve"> </w:t>
      </w:r>
      <w:r>
        <w:rPr>
          <w:i/>
          <w:iCs/>
        </w:rPr>
        <w:t xml:space="preserve">required when triptans are contraindicated (common in the older</w:t>
      </w:r>
      <w:r>
        <w:rPr>
          <w:i/>
          <w:iCs/>
        </w:rPr>
        <w:t xml:space="preserve"> </w:t>
      </w:r>
      <w:r>
        <w:rPr>
          <w:i/>
          <w:iCs/>
        </w:rPr>
        <w:t xml:space="preserve">population), when there are multiple attacks a day, invaluable in</w:t>
      </w:r>
      <w:r>
        <w:rPr>
          <w:i/>
          <w:iCs/>
        </w:rPr>
        <w:t xml:space="preserve"> </w:t>
      </w:r>
      <w:r>
        <w:rPr>
          <w:i/>
          <w:iCs/>
        </w:rPr>
        <w:t xml:space="preserve">pregnancy (often overlooked) and when preventative and other abortive</w:t>
      </w:r>
      <w:r>
        <w:rPr>
          <w:i/>
          <w:iCs/>
        </w:rPr>
        <w:t xml:space="preserve"> </w:t>
      </w:r>
      <w:r>
        <w:rPr>
          <w:i/>
          <w:iCs/>
        </w:rPr>
        <w:t xml:space="preserve">therapies are not effective.”</w:t>
      </w:r>
    </w:p>
    <w:bookmarkEnd w:id="9"/>
    <w:bookmarkStart w:id="10" w:name="dlaczego-u-mnie"/>
    <w:p>
      <w:pPr>
        <w:pStyle w:val="Heading3"/>
      </w:pPr>
      <w:r>
        <w:t xml:space="preserve">Dlaczego u mnie</w:t>
      </w:r>
    </w:p>
    <w:p>
      <w:pPr>
        <w:pStyle w:val="FirstParagraph"/>
      </w:pPr>
      <w:r>
        <w:t xml:space="preserve">Mam zdiagnozowany klasterowy ból głowy (zob. załącznik). [Jeżeli</w:t>
      </w:r>
      <w:r>
        <w:t xml:space="preserve"> </w:t>
      </w:r>
      <w:r>
        <w:t xml:space="preserve">próbowano już sumatriptan lub innych metod leczenia doraźnego, krótko</w:t>
      </w:r>
      <w:r>
        <w:t xml:space="preserve"> </w:t>
      </w:r>
      <w:r>
        <w:t xml:space="preserve">opisać, co zadziałało, co nie, oraz ewentualne działania niepożądane.]</w:t>
      </w:r>
    </w:p>
    <w:p>
      <w:pPr>
        <w:pStyle w:val="BodyText"/>
      </w:pPr>
      <w:r>
        <w:t xml:space="preserve">Napady [występują w ciągu dnia / wybudzają mnie ze snu / pojawiają się</w:t>
      </w:r>
      <w:r>
        <w:t xml:space="preserve"> </w:t>
      </w:r>
      <w:r>
        <w:t xml:space="preserve">wielokrotnie w ciągu doby] i trwają zwykle [czas trwania]. Są one</w:t>
      </w:r>
      <w:r>
        <w:t xml:space="preserve"> </w:t>
      </w:r>
      <w:r>
        <w:t xml:space="preserve">ciężko upośledzające.</w:t>
      </w:r>
    </w:p>
    <w:bookmarkEnd w:id="10"/>
    <w:bookmarkStart w:id="11" w:name="o-co-proszę"/>
    <w:p>
      <w:pPr>
        <w:pStyle w:val="Heading3"/>
      </w:pPr>
      <w:r>
        <w:t xml:space="preserve">O co proszę</w:t>
      </w:r>
    </w:p>
    <w:p>
      <w:pPr>
        <w:pStyle w:val="FirstParagraph"/>
      </w:pPr>
      <w:r>
        <w:t xml:space="preserve">O receptę na:</w:t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100% tlen z przepływem 15 L/min</w:t>
      </w:r>
      <w:r>
        <w:t xml:space="preserve"> </w:t>
      </w:r>
      <w:r>
        <w:t xml:space="preserve">(lub większym, jeżeli czuje się</w:t>
      </w:r>
      <w:r>
        <w:t xml:space="preserve"> </w:t>
      </w:r>
      <w:r>
        <w:t xml:space="preserve">Pan/Pani komfortowo, przepisując wyższy przepływ)</w:t>
      </w:r>
      <w:r>
        <w:t xml:space="preserve"> </w:t>
      </w:r>
      <w:r>
        <w:rPr>
          <w:b/>
          <w:bCs/>
        </w:rPr>
        <w:t xml:space="preserve">przez maskę</w:t>
      </w:r>
      <w:r>
        <w:rPr>
          <w:b/>
          <w:bCs/>
        </w:rPr>
        <w:t xml:space="preserve"> </w:t>
      </w:r>
      <w:r>
        <w:rPr>
          <w:b/>
          <w:bCs/>
        </w:rPr>
        <w:t xml:space="preserve">bezzwrotną, do 20 minut na napad, w razie potrzeby.</w:t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Jedną dużą butlę domową oraz jedną butlę przenośną.</w:t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Maskę bezzwrotną wraz z drenem.</w:t>
      </w:r>
    </w:p>
    <w:p>
      <w:pPr>
        <w:pStyle w:val="FirstParagraph"/>
      </w:pPr>
      <w:r>
        <w:t xml:space="preserve">Załączam wzory recept na maskę bezzwrotną oraz na zawór na żądanie</w:t>
      </w:r>
      <w:r>
        <w:t xml:space="preserve"> </w:t>
      </w:r>
      <w:r>
        <w:t xml:space="preserve">(demand valve oxygen, DVO), które można wykorzystać jako punkt</w:t>
      </w:r>
      <w:r>
        <w:t xml:space="preserve"> </w:t>
      </w:r>
      <w:r>
        <w:t xml:space="preserve">wyjścia. Jeżeli DVO jest dostępne lokalnie, jest to opcja preferowana:</w:t>
      </w:r>
      <w:r>
        <w:t xml:space="preserve"> </w:t>
      </w:r>
      <w:r>
        <w:t xml:space="preserve">badanie ankietowe doświadczeń pacjentów z 2025 roku (Goadsby et al.,</w:t>
      </w:r>
      <w:r>
        <w:t xml:space="preserve"> </w:t>
      </w:r>
      <w:r>
        <w:t xml:space="preserve">2025) wykazało średni czas do pełnego przerwania napadu wynoszący</w:t>
      </w:r>
      <w:r>
        <w:t xml:space="preserve"> </w:t>
      </w:r>
      <w:r>
        <w:rPr>
          <w:b/>
          <w:bCs/>
        </w:rPr>
        <w:t xml:space="preserve">11 minut przy DVO w porównaniu z 36 minutami</w:t>
      </w:r>
      <w:r>
        <w:t xml:space="preserve"> </w:t>
      </w:r>
      <w:r>
        <w:t xml:space="preserve">przy standardowym</w:t>
      </w:r>
      <w:r>
        <w:t xml:space="preserve"> </w:t>
      </w:r>
      <w:r>
        <w:t xml:space="preserve">tlenie podawanym wysokim przepływem, oraz pełne przerwanie napadu</w:t>
      </w:r>
      <w:r>
        <w:t xml:space="preserve"> </w:t>
      </w:r>
      <w:r>
        <w:t xml:space="preserve">w</w:t>
      </w:r>
      <w:r>
        <w:t xml:space="preserve"> </w:t>
      </w:r>
      <w:r>
        <w:rPr>
          <w:b/>
          <w:bCs/>
        </w:rPr>
        <w:t xml:space="preserve">89% przypadków w porównaniu z 70%</w:t>
      </w:r>
      <w:r>
        <w:t xml:space="preserve">.</w:t>
      </w:r>
    </w:p>
    <w:p>
      <w:pPr>
        <w:pStyle w:val="BodyText"/>
      </w:pPr>
      <w:r>
        <w:t xml:space="preserve">Dziękuję za poświęcony czas i opiekę.</w:t>
      </w:r>
    </w:p>
    <w:p>
      <w:pPr>
        <w:pStyle w:val="BodyText"/>
      </w:pPr>
      <w:r>
        <w:t xml:space="preserve">Z poważaniem,</w:t>
      </w:r>
    </w:p>
    <w:p>
      <w:pPr>
        <w:pStyle w:val="BodyText"/>
      </w:pPr>
      <w:r>
        <w:rPr>
          <w:b/>
          <w:bCs/>
        </w:rPr>
        <w:t xml:space="preserve">[Imię i nazwisko]</w:t>
      </w:r>
      <w:r>
        <w:t xml:space="preserve"> </w:t>
      </w:r>
      <w:r>
        <w:rPr>
          <w:b/>
          <w:bCs/>
        </w:rPr>
        <w:t xml:space="preserve">[Data urodzenia]</w:t>
      </w:r>
    </w:p>
    <w:bookmarkEnd w:id="11"/>
    <w:bookmarkEnd w:id="12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1"/>
  </w:num>
  <w:num w:numId="1003">
    <w:abstractNumId w:val="991"/>
  </w:num>
  <w:num w:numId="1004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Wniosek o receptę</dc:title>
  <dc:creator/>
  <cp:keywords/>
  <dcterms:created xsi:type="dcterms:W3CDTF">2026-06-04T17:04:16Z</dcterms:created>
  <dcterms:modified xsi:type="dcterms:W3CDTF">2026-06-04T17:04:16Z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