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Leitlinien zu Sauerstoff bei Cluster-Kopfschmerz</w:t>
      </w:r>
    </w:p>
    <w:bookmarkStart w:id="17" w:name="Xaf32d925bccf20be3c9e83ed8e9667ebb8f2928"/>
    <w:p>
      <w:pPr>
        <w:pStyle w:val="Heading1"/>
      </w:pPr>
      <w:r>
        <w:t xml:space="preserve">Leitlinien zu Sauerstoff bei Cluster-Kopfschmerz</w:t>
      </w:r>
    </w:p>
    <w:p>
      <w:pPr>
        <w:pStyle w:val="FirstParagraph"/>
      </w:pPr>
      <w:r>
        <w:t xml:space="preserve">Eine einseitige Zusammenfassung der wichtigsten Leitlinien, die hochdosierten</w:t>
      </w:r>
      <w:r>
        <w:t xml:space="preserve"> </w:t>
      </w:r>
      <w:r>
        <w:t xml:space="preserve">Sauerstoff als Akuttherapie der ersten Wahl bei Cluster-Kopfschmerz</w:t>
      </w:r>
      <w:r>
        <w:t xml:space="preserve"> </w:t>
      </w:r>
      <w:r>
        <w:t xml:space="preserve">empfehlen.</w:t>
      </w:r>
    </w:p>
    <w:bookmarkStart w:id="9" w:name="european-academy-of-neurology-ean"/>
    <w:p>
      <w:pPr>
        <w:pStyle w:val="Heading2"/>
      </w:pPr>
      <w:r>
        <w:t xml:space="preserve">European Academy of Neurology (EAN)</w:t>
      </w:r>
    </w:p>
    <w:p>
      <w:pPr>
        <w:pStyle w:val="BlockText"/>
      </w:pPr>
      <w:r>
        <w:t xml:space="preserve">“The first option for the treatment of acute attacks of cluster</w:t>
      </w:r>
      <w:r>
        <w:t xml:space="preserve"> </w:t>
      </w:r>
      <w:r>
        <w:t xml:space="preserve">headache should be subcutaneous injection of sumatriptan 6 mg or the</w:t>
      </w:r>
      <w:r>
        <w:t xml:space="preserve"> </w:t>
      </w:r>
      <w:r>
        <w:t xml:space="preserve">inhalation of 100% oxygen with at least 12 L/min over 15 min.”</w:t>
      </w:r>
    </w:p>
    <w:bookmarkEnd w:id="9"/>
    <w:bookmarkStart w:id="10" w:name="american-headache-society-ahs"/>
    <w:p>
      <w:pPr>
        <w:pStyle w:val="Heading2"/>
      </w:pPr>
      <w:r>
        <w:t xml:space="preserve">American Headache Society (AHS)</w:t>
      </w:r>
    </w:p>
    <w:p>
      <w:pPr>
        <w:pStyle w:val="FirstParagraph"/>
      </w:pPr>
      <w:r>
        <w:t xml:space="preserve">Hochdosierter Sauerstoff (typischerweise 6–12 L/min über eine</w:t>
      </w:r>
      <w:r>
        <w:t xml:space="preserve"> </w:t>
      </w:r>
      <w:r>
        <w:t xml:space="preserve">Reservoirmaske / Non-Rebreather-Maske) ist als</w:t>
      </w:r>
      <w:r>
        <w:t xml:space="preserve"> </w:t>
      </w:r>
      <w:r>
        <w:rPr>
          <w:b/>
          <w:bCs/>
        </w:rPr>
        <w:t xml:space="preserve">Akuttherapie mit</w:t>
      </w:r>
      <w:r>
        <w:rPr>
          <w:b/>
          <w:bCs/>
        </w:rPr>
        <w:t xml:space="preserve"> </w:t>
      </w:r>
      <w:r>
        <w:rPr>
          <w:b/>
          <w:bCs/>
        </w:rPr>
        <w:t xml:space="preserve">Evidenzlevel A</w:t>
      </w:r>
      <w:r>
        <w:t xml:space="preserve"> </w:t>
      </w:r>
      <w:r>
        <w:t xml:space="preserve">für Cluster-Kopfschmerz anerkannt.</w:t>
      </w:r>
    </w:p>
    <w:bookmarkEnd w:id="10"/>
    <w:bookmarkStart w:id="11" w:name="nice-cg150-uk"/>
    <w:p>
      <w:pPr>
        <w:pStyle w:val="Heading2"/>
      </w:pPr>
      <w:r>
        <w:t xml:space="preserve">NICE CG150 (UK)</w:t>
      </w:r>
    </w:p>
    <w:p>
      <w:pPr>
        <w:pStyle w:val="BlockText"/>
      </w:pPr>
      <w:r>
        <w:t xml:space="preserve">“Offer oxygen and/or a subcutaneous or nasal triptan for the acute</w:t>
      </w:r>
      <w:r>
        <w:t xml:space="preserve"> </w:t>
      </w:r>
      <w:r>
        <w:t xml:space="preserve">treatment of cluster headache.”</w:t>
      </w:r>
    </w:p>
    <w:p>
      <w:pPr>
        <w:pStyle w:val="BlockText"/>
      </w:pPr>
      <w:r>
        <w:t xml:space="preserve">“Use 100% oxygen at a flow rate of at least 12 litres per minute with</w:t>
      </w:r>
      <w:r>
        <w:t xml:space="preserve"> </w:t>
      </w:r>
      <w:r>
        <w:t xml:space="preserve">a non‑rebreathing mask and a reservoir bag, and arrange provision of</w:t>
      </w:r>
      <w:r>
        <w:t xml:space="preserve"> </w:t>
      </w:r>
      <w:r>
        <w:t xml:space="preserve">home and ambulatory oxygen.”</w:t>
      </w:r>
    </w:p>
    <w:bookmarkEnd w:id="11"/>
    <w:bookmarkStart w:id="13" w:name="X53d40049a10b06743d648c1dbb2ebf71764e131"/>
    <w:p>
      <w:pPr>
        <w:pStyle w:val="Heading2"/>
      </w:pPr>
      <w:r>
        <w:t xml:space="preserve">NHS Scotland: Right Decisions for cluster headache</w:t>
      </w:r>
    </w:p>
    <w:p>
      <w:pPr>
        <w:pStyle w:val="FirstParagraph"/>
      </w:pPr>
      <w:r>
        <w:t xml:space="preserve">Die patientenfreundlichste Empfehlung zu Sauerstoff-Flussrate und</w:t>
      </w:r>
      <w:r>
        <w:t xml:space="preserve"> </w:t>
      </w:r>
      <w:r>
        <w:t xml:space="preserve">Anwendungsmuster:</w:t>
      </w:r>
    </w:p>
    <w:p>
      <w:pPr>
        <w:pStyle w:val="Compact"/>
        <w:numPr>
          <w:ilvl w:val="0"/>
          <w:numId w:val="1001"/>
        </w:numPr>
      </w:pPr>
      <w:r>
        <w:t xml:space="preserve">100% Sauerstoff mit</w:t>
      </w:r>
      <w:r>
        <w:t xml:space="preserve"> </w:t>
      </w:r>
      <w:r>
        <w:rPr>
          <w:b/>
          <w:bCs/>
        </w:rPr>
        <w:t xml:space="preserve">10–15 L/min über 15–20 Minuten</w:t>
      </w:r>
      <w:r>
        <w:t xml:space="preserve"> </w:t>
      </w:r>
      <w:r>
        <w:t xml:space="preserve">via</w:t>
      </w:r>
      <w:r>
        <w:t xml:space="preserve"> </w:t>
      </w:r>
      <w:r>
        <w:t xml:space="preserve">Reservoirmaske (Non-Rebreather-Maske).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Keine Obergrenze für die Anwendungshäufigkeit.</w:t>
      </w:r>
    </w:p>
    <w:p>
      <w:pPr>
        <w:pStyle w:val="Compact"/>
        <w:numPr>
          <w:ilvl w:val="0"/>
          <w:numId w:val="1001"/>
        </w:numPr>
      </w:pPr>
      <w:r>
        <w:t xml:space="preserve">Ein</w:t>
      </w:r>
      <w:r>
        <w:t xml:space="preserve"> </w:t>
      </w:r>
      <w:r>
        <w:rPr>
          <w:b/>
          <w:bCs/>
        </w:rPr>
        <w:t xml:space="preserve">Demand-Valve (atemgesteuertes Ventil)</w:t>
      </w:r>
      <w:r>
        <w:t xml:space="preserve"> </w:t>
      </w:r>
      <w:r>
        <w:t xml:space="preserve">ist auf Anfrage</w:t>
      </w:r>
      <w:r>
        <w:t xml:space="preserve"> </w:t>
      </w:r>
      <w:r>
        <w:t xml:space="preserve">erhältlich.</w:t>
      </w:r>
    </w:p>
    <w:p>
      <w:pPr>
        <w:pStyle w:val="FirstParagraph"/>
      </w:pPr>
      <w:hyperlink r:id="rId12">
        <w:r>
          <w:rPr>
            <w:rStyle w:val="Hyperlink"/>
          </w:rPr>
          <w:t xml:space="preserve">https://www.rightdecisions.scot.nhs.uk/neurology-pathways/headache/9-cluster-headache-guidance/</w:t>
        </w:r>
      </w:hyperlink>
    </w:p>
    <w:bookmarkEnd w:id="13"/>
    <w:bookmarkStart w:id="15" w:name="usa-medicare-lcd-l33797"/>
    <w:p>
      <w:pPr>
        <w:pStyle w:val="Heading2"/>
      </w:pPr>
      <w:r>
        <w:t xml:space="preserve">USA: Medicare LCD L33797</w:t>
      </w:r>
    </w:p>
    <w:p>
      <w:pPr>
        <w:pStyle w:val="FirstParagraph"/>
      </w:pPr>
      <w:r>
        <w:t xml:space="preserve">Cluster-Kopfschmerz ist in der Medicare Local Coverage Determination</w:t>
      </w:r>
      <w:r>
        <w:t xml:space="preserve"> </w:t>
      </w:r>
      <w:r>
        <w:t xml:space="preserve">L33797 als qualifizierende Erkrankung der</w:t>
      </w:r>
      <w:r>
        <w:t xml:space="preserve"> </w:t>
      </w:r>
      <w:r>
        <w:rPr>
          <w:b/>
          <w:bCs/>
        </w:rPr>
        <w:t xml:space="preserve">Gruppe III</w:t>
      </w:r>
      <w:r>
        <w:t xml:space="preserve"> </w:t>
      </w:r>
      <w:r>
        <w:t xml:space="preserve">für Heim-Sauerstoff</w:t>
      </w:r>
      <w:r>
        <w:t xml:space="preserve"> </w:t>
      </w:r>
      <w:r>
        <w:t xml:space="preserve">gelistet. Hier zur Querverweisung aufgeführt; die zugehörige</w:t>
      </w:r>
      <w:r>
        <w:t xml:space="preserve"> </w:t>
      </w:r>
      <w:r>
        <w:t xml:space="preserve">LCD-Dokumentation befindet sich im US-Bundle.</w:t>
      </w:r>
    </w:p>
    <w:p>
      <w:pPr>
        <w:pStyle w:val="BodyText"/>
      </w:pPr>
      <w:hyperlink r:id="rId14">
        <w:r>
          <w:rPr>
            <w:rStyle w:val="Hyperlink"/>
          </w:rPr>
          <w:t xml:space="preserve">https://www.cms.gov/medicare-coverage-database/view/lcd.aspx?lcdid=33797</w:t>
        </w:r>
      </w:hyperlink>
    </w:p>
    <w:bookmarkEnd w:id="15"/>
    <w:bookmarkStart w:id="16" w:name="suchen-sie-nach-ihrer-lokalen-leitlinie"/>
    <w:p>
      <w:pPr>
        <w:pStyle w:val="Heading2"/>
      </w:pPr>
      <w:r>
        <w:t xml:space="preserve">Suchen Sie nach Ihrer lokalen Leitlinie</w:t>
      </w:r>
    </w:p>
    <w:p>
      <w:pPr>
        <w:pStyle w:val="FirstParagraph"/>
      </w:pPr>
      <w:r>
        <w:t xml:space="preserve">Wenn Ihr Land über eine nationale Kopfschmerzgesellschaft oder</w:t>
      </w:r>
      <w:r>
        <w:t xml:space="preserve"> </w:t>
      </w:r>
      <w:r>
        <w:t xml:space="preserve">medizinische Fachgesellschaft verfügt, die eine Leitlinie zu</w:t>
      </w:r>
      <w:r>
        <w:t xml:space="preserve"> </w:t>
      </w:r>
      <w:r>
        <w:t xml:space="preserve">Cluster-Kopfschmerz veröffentlicht hat, führen Sie diese ebenfalls an.</w:t>
      </w:r>
      <w:r>
        <w:t xml:space="preserve"> </w:t>
      </w:r>
      <w:r>
        <w:t xml:space="preserve">Beispiele (nicht erschöpfend):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Deutschland:</w:t>
      </w:r>
      <w:r>
        <w:t xml:space="preserve"> </w:t>
      </w:r>
      <w:r>
        <w:t xml:space="preserve">Deutsche Migräne- und Kopfschmerzgesellschaft (DMKG).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Frankreich:</w:t>
      </w:r>
      <w:r>
        <w:t xml:space="preserve"> </w:t>
      </w:r>
      <w:r>
        <w:t xml:space="preserve">Société Française d’Étude des Migraines et Céphalées</w:t>
      </w:r>
      <w:r>
        <w:t xml:space="preserve"> </w:t>
      </w:r>
      <w:r>
        <w:t xml:space="preserve">(SFEMC).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Italien:</w:t>
      </w:r>
      <w:r>
        <w:t xml:space="preserve"> </w:t>
      </w:r>
      <w:r>
        <w:t xml:space="preserve">Società Italiana per lo Studio delle Cefalee (SISC).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Spanien:</w:t>
      </w:r>
      <w:r>
        <w:t xml:space="preserve"> </w:t>
      </w:r>
      <w:r>
        <w:t xml:space="preserve">Sociedad Española de Neurología (SEN).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Kanada:</w:t>
      </w:r>
      <w:r>
        <w:t xml:space="preserve"> </w:t>
      </w:r>
      <w:r>
        <w:t xml:space="preserve">Canadian Headache Society.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Australien / Neuseeland:</w:t>
      </w:r>
      <w:r>
        <w:t xml:space="preserve"> </w:t>
      </w:r>
      <w:r>
        <w:t xml:space="preserve">Neurology Society of Australia.</w:t>
      </w:r>
    </w:p>
    <w:p>
      <w:pPr>
        <w:pStyle w:val="FirstParagraph"/>
      </w:pPr>
      <w:r>
        <w:t xml:space="preserve">Die meisten nationalen Kopfschmerzgesellschaften unterstützen die</w:t>
      </w:r>
      <w:r>
        <w:t xml:space="preserve"> </w:t>
      </w:r>
      <w:r>
        <w:t xml:space="preserve">Position der EAN und / oder AHS, wonach Sauerstoff die Akuttherapie der</w:t>
      </w:r>
      <w:r>
        <w:t xml:space="preserve"> </w:t>
      </w:r>
      <w:r>
        <w:t xml:space="preserve">ersten Wahl ist.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4" Target="https://www.cms.gov/medicare-coverage-database/view/lcd.aspx?lcdid=33797" TargetMode="External" /><Relationship Type="http://schemas.openxmlformats.org/officeDocument/2006/relationships/hyperlink" Id="rId12" Target="https://www.rightdecisions.scot.nhs.uk/neurology-pathways/headache/9-cluster-headache-guidance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4" Target="https://www.cms.gov/medicare-coverage-database/view/lcd.aspx?lcdid=33797" TargetMode="External" /><Relationship Type="http://schemas.openxmlformats.org/officeDocument/2006/relationships/hyperlink" Id="rId12" Target="https://www.rightdecisions.scot.nhs.uk/neurology-pathways/headache/9-cluster-headache-guidance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Leitlinien zu Sauerstoff bei Cluster-Kopfschmerz</dc:title>
  <dc:creator/>
  <cp:keywords/>
  <dcterms:created xsi:type="dcterms:W3CDTF">2026-05-27T10:35:12Z</dcterms:created>
  <dcterms:modified xsi:type="dcterms:W3CDTF">2026-05-27T10:35:12Z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