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Bescheinigung der medizinischen Notwendigkeit: Vorlage für die verordnende Ärztin oder den verordnenden Arzt</w:t>
      </w:r>
    </w:p>
    <w:bookmarkStart w:id="14" w:name="X048b561fd84b619f2c8e701281401a8e46c0a00"/>
    <w:p>
      <w:pPr>
        <w:pStyle w:val="Heading1"/>
      </w:pPr>
      <w:r>
        <w:t xml:space="preserve">Bescheinigung der medizinischen Notwendigkeit</w:t>
      </w:r>
    </w:p>
    <w:p>
      <w:pPr>
        <w:pStyle w:val="FirstParagraph"/>
      </w:pPr>
      <w:r>
        <w:rPr>
          <w:i/>
          <w:iCs/>
        </w:rPr>
        <w:t xml:space="preserve">Dies ist eine Vorlage für die verordnende Ärztin oder den verordnenden Arzt. Bitte ergänzen Sie die in eckigen Klammern markierten Felder, unterschreiben und datieren Sie das Dokument.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[Briefkopf der Praxis/Klinik]</w:t>
      </w:r>
    </w:p>
    <w:p>
      <w:pPr>
        <w:pStyle w:val="BodyText"/>
      </w:pPr>
      <w:r>
        <w:rPr>
          <w:b/>
          <w:bCs/>
        </w:rPr>
        <w:t xml:space="preserve">Datum:</w:t>
      </w:r>
      <w:r>
        <w:t xml:space="preserve"> </w:t>
      </w:r>
      <w:r>
        <w:t xml:space="preserve">[Datum]</w:t>
      </w:r>
    </w:p>
    <w:p>
      <w:pPr>
        <w:pStyle w:val="BodyText"/>
      </w:pPr>
      <w:r>
        <w:rPr>
          <w:b/>
          <w:bCs/>
        </w:rPr>
        <w:t xml:space="preserve">An die zuständige Stelle</w:t>
      </w:r>
      <w:r>
        <w:t xml:space="preserve"> </w:t>
      </w:r>
      <w:r>
        <w:t xml:space="preserve">(Lieferant und/oder Kostenträger)</w:t>
      </w:r>
    </w:p>
    <w:p>
      <w:r>
        <w:pict>
          <v:rect style="width:0;height:1.5pt" o:hralign="center" o:hrstd="t" o:hr="t"/>
        </w:pict>
      </w:r>
    </w:p>
    <w:bookmarkStart w:id="13" w:name="X95336127216136b6f011fdd91a1aee79c8d78cf"/>
    <w:p>
      <w:pPr>
        <w:pStyle w:val="Heading2"/>
      </w:pPr>
      <w:r>
        <w:t xml:space="preserve">Betr.: [Vollständiger Name der Patientin/des Patienten], Geb. [Geburtsdatum], medizinische Notwendigkeit einer häuslichen Therapie mit hochdosiertem Sauerstoff</w:t>
      </w:r>
    </w:p>
    <w:p>
      <w:pPr>
        <w:pStyle w:val="FirstParagraph"/>
      </w:pPr>
      <w:r>
        <w:t xml:space="preserve">Ich bin die behandelnde Ärztin/der behandelnde Arzt von [Name der Patientin/des Patienten] mit gesicherter Diagnose [episodischer / chronischer] Cluster-Kopfschmerz (ICD-10 G44.0[__]). Eine häusliche Therapie mit hochdosiertem Sauerstoff ist medizinisch notwendig, um die Attacken zu beenden und die Alltagsfunktion zu erhalten.</w:t>
      </w:r>
    </w:p>
    <w:bookmarkStart w:id="9" w:name="klinische-zusammenfassung"/>
    <w:p>
      <w:pPr>
        <w:pStyle w:val="Heading3"/>
      </w:pPr>
      <w:r>
        <w:t xml:space="preserve">Klinische Zusammenfassung</w:t>
      </w:r>
    </w:p>
    <w:p>
      <w:pPr>
        <w:pStyle w:val="FirstParagraph"/>
      </w:pPr>
      <w:r>
        <w:t xml:space="preserve">[Name der Patientin/des Patienten] erfüllt die ICHD-3-Kriterien für Cluster-Kopfschmerz mit [N] Attacken pro Tag, jeweils von [Dauer] Minuten Länge, mit starken einseitigen orbitalen oder temporalen Schmerzen, begleitet von ipsilateralen autonomen Begleitsymptomen (Tränenfluss, konjunktivale Injektion, Rhinorrhoe, nasale Kongestion, Lidödem und/oder Bewegungsunruhe während der Attacken). [Bei Bedarf Verlaufsmuster und Dauer der aktiven Phase ergänzen.]</w:t>
      </w:r>
    </w:p>
    <w:p>
      <w:pPr>
        <w:pStyle w:val="BodyText"/>
      </w:pPr>
      <w:r>
        <w:t xml:space="preserve">Funktionelle Auswirkungen: Die Attacken haben zu [Arbeitsunfähigkeitstagen / Schlafstörungen / Fahruntauglichkeit / Notaufnahmebesuchen; bitte konkretisieren] geführt.</w:t>
      </w:r>
    </w:p>
    <w:p>
      <w:pPr>
        <w:pStyle w:val="BodyText"/>
      </w:pPr>
      <w:r>
        <w:t xml:space="preserve">[Bisherige Akuttherapien: Wirkstoff, Dosis, Zeitraum, Ansprechen, Nebenwirkungen. Besonders relevant, wenn ein Stufenschema (Step-Therapy) gefordert wird.]</w:t>
      </w:r>
    </w:p>
    <w:bookmarkEnd w:id="9"/>
    <w:bookmarkStart w:id="10" w:name="Xf7d4a35001a11c7e89fb609b12176a873e59aad"/>
    <w:p>
      <w:pPr>
        <w:pStyle w:val="Heading3"/>
      </w:pPr>
      <w:r>
        <w:t xml:space="preserve">Warum Sauerstoff, und warum mit hoher Flussrate</w:t>
      </w:r>
    </w:p>
    <w:p>
      <w:pPr>
        <w:pStyle w:val="FirstParagraph"/>
      </w:pPr>
      <w:r>
        <w:t xml:space="preserve">Inhalativer hochdosierter Sauerstoff über eine Reservoirmaske (Non-Rebreather-Maske / Hochkonzentrationsmaske mit Reservoirbeutel) ist in den maßgeblichen Leitlinien als Erstlinien-Akuttherapie des Cluster-Kopfschmerzes anerkannt: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 treatment of acute attacks of cluster headache should be subcutaneous injection of sumatriptan 6 mg or the inhalation of 100% oxygen with 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(AHS):</w:t>
      </w:r>
      <w:r>
        <w:t xml:space="preserve"> </w:t>
      </w:r>
      <w:r>
        <w:t xml:space="preserve">Akuttherapie mit Evidenzgrad A.</w:t>
      </w:r>
    </w:p>
    <w:p>
      <w:pPr>
        <w:pStyle w:val="Compact"/>
        <w:numPr>
          <w:ilvl w:val="0"/>
          <w:numId w:val="1001"/>
        </w:numPr>
      </w:pPr>
      <w:r>
        <w:t xml:space="preserve">[Sofern zutreffend, nationale Leitlinie ergänzen.]</w:t>
      </w:r>
    </w:p>
    <w:p>
      <w:pPr>
        <w:pStyle w:val="FirstParagraph"/>
      </w:pPr>
      <w:r>
        <w:t xml:space="preserve">Zur Evidenzgrundlage zählen Cohen et al. (JAMA, 2009), eine randomisierte, doppelblinde, placebokontrollierte Studie mit Schmerzfreiheit nach 15 Minuten in 78% der mit Sauerstoff behandelten Attacken gegenüber 20% mit Placebo-Luft; Medrea et al. (Journal of Headache and Pain, 2022), eine Netzwerk-Metaanalyse von 13 RCTs, in der hochdosierter Sauerstoff als wirksamste Akuttherapie eingestuft wurde; sowie Robbins et al.,</w:t>
      </w:r>
      <w:r>
        <w:t xml:space="preserve"> </w:t>
      </w:r>
      <w:r>
        <w:rPr>
          <w:i/>
          <w:iCs/>
        </w:rPr>
        <w:t xml:space="preserve">Treatment of Cluster Headache: The American Headache Society Evidence-Based Guidelines</w:t>
      </w:r>
      <w:r>
        <w:t xml:space="preserve"> </w:t>
      </w:r>
      <w:r>
        <w:t xml:space="preserve">(Headache, 2016;56:1093–1106), die hochdosierten Sauerstoff als Akuttherapie mit Evidenzgrad A einstufen.</w:t>
      </w:r>
    </w:p>
    <w:bookmarkEnd w:id="10"/>
    <w:bookmarkStart w:id="11" w:name="verordnung"/>
    <w:p>
      <w:pPr>
        <w:pStyle w:val="Heading3"/>
      </w:pPr>
      <w:r>
        <w:t xml:space="preserve">Verordnung</w:t>
      </w:r>
    </w:p>
    <w:p>
      <w:pPr>
        <w:pStyle w:val="Compact"/>
        <w:numPr>
          <w:ilvl w:val="0"/>
          <w:numId w:val="1002"/>
        </w:numPr>
      </w:pPr>
      <w:r>
        <w:t xml:space="preserve">100% Sauerstoff mit 15 L/min über Reservoirmaske, bis zu 20 Minuten pro Attacke, nach Bedarf (PRN, Häufigkeit gemäß Attacken pro Tag).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Eine große Heimflasche und eine tragbare Flasche.</w:t>
      </w:r>
      <w:r>
        <w:t xml:space="preserve"> </w:t>
      </w:r>
      <w:r>
        <w:t xml:space="preserve">Die Patientin/Der Patient benötigt beide: die Heimflasche für nächtliche und häusliche Attacken und die tragbare Flasche für Attacken am Arbeitsplatz oder unterwegs. Attacken sind unvorhersehbar und nicht aufschiebbar.</w:t>
      </w:r>
    </w:p>
    <w:p>
      <w:pPr>
        <w:pStyle w:val="Compact"/>
        <w:numPr>
          <w:ilvl w:val="0"/>
          <w:numId w:val="1002"/>
        </w:numPr>
      </w:pPr>
      <w:r>
        <w:t xml:space="preserve">Reservoirmaske und Schlauch.</w:t>
      </w:r>
    </w:p>
    <w:p>
      <w:pPr>
        <w:pStyle w:val="Compact"/>
        <w:numPr>
          <w:ilvl w:val="0"/>
          <w:numId w:val="1002"/>
        </w:numPr>
      </w:pPr>
      <w:r>
        <w:t xml:space="preserve">[Bei Bedarf Spezifikation eines Demand-Valve (atemgesteuertes Ventil) ergänzen.]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Versorgungsdauer:</w:t>
      </w:r>
      <w:r>
        <w:t xml:space="preserve"> </w:t>
      </w:r>
      <w:r>
        <w:t xml:space="preserve">12 Monate, fortlaufend. Cluster-Kopfschmerz ist eine lebenslange Erkrankung mit unbefristet wiederkehrenden aktiven Phasen.</w:t>
      </w:r>
    </w:p>
    <w:bookmarkEnd w:id="11"/>
    <w:bookmarkStart w:id="12" w:name="warum-dies-medizinisch-notwendig-ist"/>
    <w:p>
      <w:pPr>
        <w:pStyle w:val="Heading3"/>
      </w:pPr>
      <w:r>
        <w:t xml:space="preserve">Warum dies medizinisch notwendig ist</w:t>
      </w:r>
    </w:p>
    <w:p>
      <w:pPr>
        <w:pStyle w:val="FirstParagraph"/>
      </w:pPr>
      <w:r>
        <w:t xml:space="preserve">Ohne wirksame Akuttherapie erlebt die Patientin/der Patient mehrfach täglich schwere, behindernde Schmerzen mit erheblichen Auswirkungen auf Schlaf, Funktion und Lebensqualität. Triptane, die andere anerkannte Erstlinien-Akuttherapie, sind bei dieser Patientin/diesem Patienten nicht geeignet: [kontraindiziert wegen kardiovaskulärem Risiko / ischämischer Herzerkrankung / unkontrollierter Hypertonie],</w:t>
      </w:r>
      <w:r>
        <w:t xml:space="preserve"> </w:t>
      </w:r>
      <w:r>
        <w:rPr>
          <w:i/>
          <w:iCs/>
        </w:rPr>
        <w:t xml:space="preserve">oder</w:t>
      </w:r>
      <w:r>
        <w:t xml:space="preserve"> </w:t>
      </w:r>
      <w:r>
        <w:t xml:space="preserve">[erprobt und unwirksam: Wirkstoff, Dosis, Zeitraum],</w:t>
      </w:r>
      <w:r>
        <w:t xml:space="preserve"> </w:t>
      </w:r>
      <w:r>
        <w:rPr>
          <w:i/>
          <w:iCs/>
        </w:rPr>
        <w:t xml:space="preserve">oder</w:t>
      </w:r>
      <w:r>
        <w:t xml:space="preserve"> </w:t>
      </w:r>
      <w:r>
        <w:t xml:space="preserve">[schlecht verträglich: Nebenwirkungen].</w:t>
      </w:r>
    </w:p>
    <w:p>
      <w:pPr>
        <w:pStyle w:val="BodyText"/>
      </w:pPr>
      <w:r>
        <w:t xml:space="preserve">Sauerstoff hat keine systemischen Nebenwirkungen, keine Arzneimittelwechselwirkungen und auf Grundlage der Anamnese dieser Patientin/dieses Patienten keine Kontraindikation. Es ist die sicherste verfügbare Akuttherapieoption für diese Patientin/diesen Patienten.</w:t>
      </w:r>
    </w:p>
    <w:p>
      <w:pPr>
        <w:pStyle w:val="BodyText"/>
      </w:pPr>
      <w:r>
        <w:t xml:space="preserve">Ich bestätige, dass die häusliche Therapie mit hochdosiertem Sauerstoff für [Name der Patientin/des Patienten] medizinisch notwendig ist.</w:t>
      </w:r>
    </w:p>
    <w:p>
      <w:pPr>
        <w:pStyle w:val="BodyText"/>
      </w:pPr>
      <w:r>
        <w:t xml:space="preserve">Mit freundlichen Grüßen</w:t>
      </w:r>
    </w:p>
    <w:p>
      <w:pPr>
        <w:pStyle w:val="BodyText"/>
      </w:pPr>
      <w:r>
        <w:rPr>
          <w:b/>
          <w:bCs/>
        </w:rPr>
        <w:t xml:space="preserve">[Name der/des Verordnenden]</w:t>
      </w:r>
      <w:r>
        <w:t xml:space="preserve"> </w:t>
      </w:r>
      <w:r>
        <w:rPr>
          <w:b/>
          <w:bCs/>
        </w:rPr>
        <w:t xml:space="preserve">[Titel / Fachgebiet]</w:t>
      </w:r>
      <w:r>
        <w:t xml:space="preserve"> </w:t>
      </w:r>
      <w:r>
        <w:rPr>
          <w:b/>
          <w:bCs/>
        </w:rPr>
        <w:t xml:space="preserve">[Approbations-/Registriernummer]</w:t>
      </w:r>
      <w:r>
        <w:t xml:space="preserve"> </w:t>
      </w:r>
      <w:r>
        <w:rPr>
          <w:b/>
          <w:bCs/>
        </w:rPr>
        <w:t xml:space="preserve">[Unterschrift]</w:t>
      </w:r>
      <w:r>
        <w:t xml:space="preserve"> </w:t>
      </w:r>
      <w:r>
        <w:rPr>
          <w:b/>
          <w:bCs/>
        </w:rPr>
        <w:t xml:space="preserve">[Datum]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Bescheinigung der medizinischen Notwendigkeit: Vorlage für die verordnende Ärztin oder den verordnenden Arzt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