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Pasta de oxigênio: edição para o resto do mundo</w:t>
      </w:r>
    </w:p>
    <w:bookmarkStart w:id="13" w:name="X9a9a084b53907b10ab8b96602237969da1df1f5"/>
    <w:p>
      <w:pPr>
        <w:pStyle w:val="Heading1"/>
      </w:pPr>
      <w:r>
        <w:t xml:space="preserve">Pasta de oxigênio: edição para o resto do mundo</w:t>
      </w:r>
    </w:p>
    <w:p>
      <w:pPr>
        <w:pStyle w:val="FirstParagraph"/>
      </w:pPr>
      <w:r>
        <w:t xml:space="preserve">Esta pasta foi elaborada para ajudar você a obter uma prescrição de</w:t>
      </w:r>
      <w:r>
        <w:t xml:space="preserve"> </w:t>
      </w:r>
      <w:r>
        <w:t xml:space="preserve">oxigenoterapia em alto fluxo para cefaleia em salvas fora dos EUA e do</w:t>
      </w:r>
      <w:r>
        <w:t xml:space="preserve"> </w:t>
      </w:r>
      <w:r>
        <w:t xml:space="preserve">Reino Unido. Ela usa uma redação neutra e internacionalmente aplicável,</w:t>
      </w:r>
      <w:r>
        <w:t xml:space="preserve"> </w:t>
      </w:r>
      <w:r>
        <w:t xml:space="preserve">e remete às diretrizes da European Academy of Neurology e da American</w:t>
      </w:r>
      <w:r>
        <w:t xml:space="preserve"> </w:t>
      </w:r>
      <w:r>
        <w:t xml:space="preserve">Headache Society, que são reconhecidas na maioria dos sistemas</w:t>
      </w:r>
      <w:r>
        <w:t xml:space="preserve"> </w:t>
      </w:r>
      <w:r>
        <w:t xml:space="preserve">nacionais.</w:t>
      </w:r>
    </w:p>
    <w:p>
      <w:pPr>
        <w:pStyle w:val="BodyText"/>
      </w:pPr>
      <w:r>
        <w:t xml:space="preserve">Se você estiver nos</w:t>
      </w:r>
      <w:r>
        <w:t xml:space="preserve"> </w:t>
      </w:r>
      <w:r>
        <w:rPr>
          <w:b/>
          <w:bCs/>
        </w:rPr>
        <w:t xml:space="preserve">EUA</w:t>
      </w:r>
      <w:r>
        <w:t xml:space="preserve"> </w:t>
      </w:r>
      <w:r>
        <w:t xml:space="preserve">ou no</w:t>
      </w:r>
      <w:r>
        <w:t xml:space="preserve"> </w:t>
      </w:r>
      <w:r>
        <w:rPr>
          <w:b/>
          <w:bCs/>
        </w:rPr>
        <w:t xml:space="preserve">Reino Unido</w:t>
      </w:r>
      <w:r>
        <w:t xml:space="preserve">, baixe o pacote</w:t>
      </w:r>
      <w:r>
        <w:t xml:space="preserve"> </w:t>
      </w:r>
      <w:r>
        <w:t xml:space="preserve">específico do país correspondente. Esses pacotes incluem os formulários</w:t>
      </w:r>
      <w:r>
        <w:t xml:space="preserve"> </w:t>
      </w:r>
      <w:r>
        <w:t xml:space="preserve">locais e orientações específicas do fluxo de atendimento (Medicare LCD</w:t>
      </w:r>
      <w:r>
        <w:t xml:space="preserve"> </w:t>
      </w:r>
      <w:r>
        <w:t xml:space="preserve">/ SWO para os EUA; HOOF Part A e NHS Scotland Right Decisions para o</w:t>
      </w:r>
      <w:r>
        <w:t xml:space="preserve"> </w:t>
      </w:r>
      <w:r>
        <w:t xml:space="preserve">Reino Unido).</w:t>
      </w:r>
    </w:p>
    <w:p>
      <w:pPr>
        <w:pStyle w:val="BodyText"/>
      </w:pPr>
      <w:r>
        <w:t xml:space="preserve">Para o contexto completo por trás de cada documento, consulte o</w:t>
      </w:r>
      <w:r>
        <w:t xml:space="preserve"> </w:t>
      </w:r>
      <w:r>
        <w:t xml:space="preserve">capítulo</w:t>
      </w:r>
      <w:r>
        <w:t xml:space="preserve"> </w:t>
      </w:r>
      <w:r>
        <w:rPr>
          <w:i/>
          <w:iCs/>
        </w:rPr>
        <w:t xml:space="preserve">Getting access to oxygen</w:t>
      </w:r>
      <w:r>
        <w:t xml:space="preserve"> </w:t>
      </w:r>
      <w:r>
        <w:t xml:space="preserve">em clusterinfo.org.</w:t>
      </w:r>
    </w:p>
    <w:bookmarkStart w:id="9" w:name="o-que-tem-aqui"/>
    <w:p>
      <w:pPr>
        <w:pStyle w:val="Heading2"/>
      </w:pPr>
      <w:r>
        <w:t xml:space="preserve">O que tem aqui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Arquivo</w:t>
            </w:r>
          </w:p>
        </w:tc>
        <w:tc>
          <w:tcPr/>
          <w:p>
            <w:pPr>
              <w:pStyle w:val="Compact"/>
            </w:pPr>
            <w:r>
              <w:t xml:space="preserve">Finalidade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01-carta-solicitacao-receita.docx</w:t>
            </w:r>
          </w:p>
        </w:tc>
        <w:tc>
          <w:tcPr/>
          <w:p>
            <w:pPr>
              <w:pStyle w:val="Compact"/>
            </w:pPr>
            <w:r>
              <w:t xml:space="preserve">Uma carta editável de você para seu médico, resumindo os argumentos para a prescrição de oxigênio.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02-receita-mascara-reservatorio.docx</w:t>
            </w:r>
          </w:p>
        </w:tc>
        <w:tc>
          <w:tcPr/>
          <w:p>
            <w:pPr>
              <w:pStyle w:val="Compact"/>
            </w:pPr>
            <w:r>
              <w:t xml:space="preserve">Modelo editável de prescrição de máscara não reinalante com redação neutra.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03-receita-valvula-demanda.docx</w:t>
            </w:r>
          </w:p>
        </w:tc>
        <w:tc>
          <w:tcPr/>
          <w:p>
            <w:pPr>
              <w:pStyle w:val="Compact"/>
            </w:pPr>
            <w:r>
              <w:t xml:space="preserve">Modelo editável de prescrição de oxigênio com válvula de demanda (DVO) com redação neutra.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04-evidencias.docx</w:t>
            </w:r>
          </w:p>
        </w:tc>
        <w:tc>
          <w:tcPr/>
          <w:p>
            <w:pPr>
              <w:pStyle w:val="Compact"/>
            </w:pPr>
            <w:r>
              <w:t xml:space="preserve">Resumos de uma página dos estudos mais citados em apoio ao uso de oxigênio para cefaleia em salvas, com links.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05-carta-necessidade-medica.docx</w:t>
            </w:r>
          </w:p>
        </w:tc>
        <w:tc>
          <w:tcPr/>
          <w:p>
            <w:pPr>
              <w:pStyle w:val="Compact"/>
            </w:pPr>
            <w:r>
              <w:t xml:space="preserve">Modelo editável para o clínico preencher e assinar. Útil quando pagadores ou fornecedores locais questionam a prescrição.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06-resumo-diretrizes.docx</w:t>
            </w:r>
          </w:p>
        </w:tc>
        <w:tc>
          <w:tcPr/>
          <w:p>
            <w:pPr>
              <w:pStyle w:val="Compact"/>
            </w:pPr>
            <w:r>
              <w:t xml:space="preserve">Resumo de uma página das principais diretrizes que recomendam oxigênio como tratamento agudo de primeira linha (EAN, AHS e outras).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artigos-completos/</w:t>
            </w:r>
          </w:p>
        </w:tc>
        <w:tc>
          <w:tcPr/>
          <w:p>
            <w:pPr>
              <w:pStyle w:val="Compact"/>
            </w:pPr>
            <w:r>
              <w:t xml:space="preserve">Pasta para os PDFs de acesso aberto dos estudos resumidos em</w:t>
            </w:r>
            <w:r>
              <w:t xml:space="preserve"> </w:t>
            </w:r>
            <w:r>
              <w:rPr>
                <w:rStyle w:val="VerbatimChar"/>
              </w:rPr>
              <w:t xml:space="preserve">04-evidencias.docx</w:t>
            </w:r>
            <w:r>
              <w:t xml:space="preserve">.</w:t>
            </w:r>
          </w:p>
        </w:tc>
      </w:tr>
    </w:tbl>
    <w:bookmarkEnd w:id="9"/>
    <w:bookmarkStart w:id="10" w:name="o-que-você-deve-acrescentar"/>
    <w:p>
      <w:pPr>
        <w:pStyle w:val="Heading2"/>
      </w:pPr>
      <w:r>
        <w:t xml:space="preserve">O que você deve acrescentar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Uma cópia do seu diagnóstico de cefaleia em salvas.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Qualquer diretriz local</w:t>
      </w:r>
      <w:r>
        <w:t xml:space="preserve"> </w:t>
      </w:r>
      <w:r>
        <w:t xml:space="preserve">da sua sociedade nacional de cefaleia ou</w:t>
      </w:r>
      <w:r>
        <w:t xml:space="preserve"> </w:t>
      </w:r>
      <w:r>
        <w:t xml:space="preserve">autoridade médica que recomende oxigênio para cefaleia em salvas.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Seus formulários locais de prescrição / reembolso</w:t>
      </w:r>
      <w:r>
        <w:t xml:space="preserve">, se houver.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Quaisquer tratamentos agudos anteriores que tenham falhado</w:t>
      </w:r>
      <w:r>
        <w:t xml:space="preserve">, com</w:t>
      </w:r>
      <w:r>
        <w:t xml:space="preserve"> </w:t>
      </w:r>
      <w:r>
        <w:t xml:space="preserve">datas e desfechos.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Uma carta de necessidade médica assinada</w:t>
      </w:r>
      <w:r>
        <w:t xml:space="preserve"> </w:t>
      </w:r>
      <w:r>
        <w:t xml:space="preserve">(use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 </w:t>
      </w:r>
      <w:r>
        <w:t xml:space="preserve">como</w:t>
      </w:r>
      <w:r>
        <w:t xml:space="preserve"> </w:t>
      </w:r>
      <w:r>
        <w:t xml:space="preserve">modelo).</w:t>
      </w:r>
    </w:p>
    <w:bookmarkEnd w:id="10"/>
    <w:bookmarkStart w:id="11" w:name="como-usar"/>
    <w:p>
      <w:pPr>
        <w:pStyle w:val="Heading2"/>
      </w:pPr>
      <w:r>
        <w:t xml:space="preserve">Como usar</w:t>
      </w:r>
    </w:p>
    <w:p>
      <w:pPr>
        <w:pStyle w:val="Compact"/>
        <w:numPr>
          <w:ilvl w:val="0"/>
          <w:numId w:val="1002"/>
        </w:numPr>
      </w:pPr>
      <w:r>
        <w:t xml:space="preserve">Leia</w:t>
      </w:r>
      <w:r>
        <w:t xml:space="preserve"> </w:t>
      </w:r>
      <w:r>
        <w:rPr>
          <w:rStyle w:val="VerbatimChar"/>
        </w:rPr>
        <w:t xml:space="preserve">01-carta-solicitacao-receita.docx</w:t>
      </w:r>
      <w:r>
        <w:t xml:space="preserve"> </w:t>
      </w:r>
      <w:r>
        <w:t xml:space="preserve">e preencha os campos</w:t>
      </w:r>
      <w:r>
        <w:t xml:space="preserve"> </w:t>
      </w:r>
      <w:r>
        <w:t xml:space="preserve">entre colchetes.</w:t>
      </w:r>
    </w:p>
    <w:p>
      <w:pPr>
        <w:pStyle w:val="Compact"/>
        <w:numPr>
          <w:ilvl w:val="0"/>
          <w:numId w:val="1002"/>
        </w:numPr>
      </w:pPr>
      <w:r>
        <w:t xml:space="preserve">Imprima ou envie a pasta por e-mail ao seu médico antes da consulta.</w:t>
      </w:r>
    </w:p>
    <w:p>
      <w:pPr>
        <w:pStyle w:val="Compact"/>
        <w:numPr>
          <w:ilvl w:val="0"/>
          <w:numId w:val="1002"/>
        </w:numPr>
      </w:pPr>
      <w:r>
        <w:t xml:space="preserve">Na consulta, peça ao médico para emitir a prescrição usando</w:t>
      </w:r>
      <w:r>
        <w:t xml:space="preserve"> </w:t>
      </w:r>
      <w:r>
        <w:rPr>
          <w:rStyle w:val="VerbatimChar"/>
        </w:rPr>
        <w:t xml:space="preserve">02-receita-mascara-reservatorio.docx</w:t>
      </w:r>
      <w:r>
        <w:t xml:space="preserve"> </w:t>
      </w:r>
      <w:r>
        <w:t xml:space="preserve">(ou</w:t>
      </w:r>
      <w:r>
        <w:t xml:space="preserve"> </w:t>
      </w:r>
      <w:r>
        <w:rPr>
          <w:rStyle w:val="VerbatimChar"/>
        </w:rPr>
        <w:t xml:space="preserve">03-receita-valvula-demanda.docx</w:t>
      </w:r>
      <w:r>
        <w:t xml:space="preserve">, se o</w:t>
      </w:r>
      <w:r>
        <w:t xml:space="preserve"> </w:t>
      </w:r>
      <w:r>
        <w:t xml:space="preserve">oxigênio com válvula de demanda estiver disponível na sua região)</w:t>
      </w:r>
      <w:r>
        <w:t xml:space="preserve"> </w:t>
      </w:r>
      <w:r>
        <w:t xml:space="preserve">como ponto de partida.</w:t>
      </w:r>
    </w:p>
    <w:p>
      <w:pPr>
        <w:pStyle w:val="Compact"/>
        <w:numPr>
          <w:ilvl w:val="0"/>
          <w:numId w:val="1002"/>
        </w:numPr>
      </w:pPr>
      <w:r>
        <w:t xml:space="preserve">Se o pagador ou fornecedor local questionar a prescrição, entregue</w:t>
      </w:r>
      <w:r>
        <w:t xml:space="preserve"> </w:t>
      </w:r>
      <w:r>
        <w:rPr>
          <w:rStyle w:val="VerbatimChar"/>
        </w:rPr>
        <w:t xml:space="preserve">05-carta-necessidade-medica.docx</w:t>
      </w:r>
      <w:r>
        <w:t xml:space="preserve"> </w:t>
      </w:r>
      <w:r>
        <w:t xml:space="preserve">para o médico preencher e</w:t>
      </w:r>
      <w:r>
        <w:t xml:space="preserve"> </w:t>
      </w:r>
      <w:r>
        <w:t xml:space="preserve">assinar.</w:t>
      </w:r>
    </w:p>
    <w:bookmarkEnd w:id="11"/>
    <w:bookmarkStart w:id="12" w:name="fluxo-local"/>
    <w:p>
      <w:pPr>
        <w:pStyle w:val="Heading2"/>
      </w:pPr>
      <w:r>
        <w:t xml:space="preserve">Fluxo local</w:t>
      </w:r>
    </w:p>
    <w:p>
      <w:pPr>
        <w:pStyle w:val="FirstParagraph"/>
      </w:pPr>
      <w:r>
        <w:t xml:space="preserve">O caminho para obter oxigênio domiciliar varia bastante entre países.</w:t>
      </w:r>
      <w:r>
        <w:t xml:space="preserve"> </w:t>
      </w:r>
      <w:r>
        <w:t xml:space="preserve">Dois princípios valem em qualquer lugar: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Entenda quem prescreve, quem fornece e quem paga na sua</w:t>
      </w:r>
      <w:r>
        <w:rPr>
          <w:b/>
          <w:bCs/>
        </w:rPr>
        <w:t xml:space="preserve"> </w:t>
      </w:r>
      <w:r>
        <w:rPr>
          <w:b/>
          <w:bCs/>
        </w:rPr>
        <w:t xml:space="preserve">região.</w:t>
      </w:r>
      <w:r>
        <w:t xml:space="preserve"> </w:t>
      </w:r>
      <w:r>
        <w:t xml:space="preserve">Médicos, fornecedores e pagadores costumam trabalhar com</w:t>
      </w:r>
      <w:r>
        <w:t xml:space="preserve"> </w:t>
      </w:r>
      <w:r>
        <w:t xml:space="preserve">premissas incorretas. Conhecer as regras locais ajuda.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Obtenha cada recusa por escrito.</w:t>
      </w:r>
      <w:r>
        <w:t xml:space="preserve"> </w:t>
      </w:r>
      <w:r>
        <w:t xml:space="preserve">Isso transforma uma rejeição</w:t>
      </w:r>
      <w:r>
        <w:t xml:space="preserve"> </w:t>
      </w:r>
      <w:r>
        <w:t xml:space="preserve">vaga em um problema concreto e fortalece qualquer recurso.</w:t>
      </w:r>
    </w:p>
    <w:p>
      <w:pPr>
        <w:pStyle w:val="FirstParagraph"/>
      </w:pPr>
      <w:r>
        <w:t xml:space="preserve">Organizações locais de pacientes e comunidades de pares costumam ser o</w:t>
      </w:r>
      <w:r>
        <w:t xml:space="preserve"> </w:t>
      </w:r>
      <w:r>
        <w:t xml:space="preserve">caminho mais rápido para aprender o fluxo específico do seu país.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Pasta de oxigênio: edição para o resto do mundo</dc:title>
  <dc:creator/>
  <cp:keywords/>
  <dcterms:created xsi:type="dcterms:W3CDTF">2026-05-27T10:35:15Z</dcterms:created>
  <dcterms:modified xsi:type="dcterms:W3CDTF">2026-05-27T10:35:15Z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