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Artigos em texto completo</w:t>
      </w:r>
    </w:p>
    <w:bookmarkStart w:id="9" w:name="artigos-em-texto-completo"/>
    <w:p>
      <w:pPr>
        <w:pStyle w:val="Heading1"/>
      </w:pPr>
      <w:r>
        <w:t xml:space="preserve">Artigos em texto completo</w:t>
      </w:r>
    </w:p>
    <w:p>
      <w:pPr>
        <w:pStyle w:val="FirstParagraph"/>
      </w:pPr>
      <w:r>
        <w:t xml:space="preserve">Esta pasta reúne os PDFs em texto completo dos estudos resumidos em</w:t>
      </w:r>
      <w:r>
        <w:t xml:space="preserve"> </w:t>
      </w:r>
      <w:r>
        <w:rPr>
          <w:rStyle w:val="VerbatimChar"/>
        </w:rPr>
        <w:t xml:space="preserve">04-evidencias.docx</w:t>
      </w:r>
      <w:r>
        <w:t xml:space="preserve">. Consulte os artigos originais para os achados definitivos;</w:t>
      </w:r>
      <w:r>
        <w:t xml:space="preserve"> </w:t>
      </w:r>
      <w:r>
        <w:t xml:space="preserve">os resumos em</w:t>
      </w:r>
      <w:r>
        <w:t xml:space="preserve"> </w:t>
      </w:r>
      <w:r>
        <w:rPr>
          <w:rStyle w:val="VerbatimChar"/>
        </w:rPr>
        <w:t xml:space="preserve">04-evidencias.docx</w:t>
      </w:r>
      <w:r>
        <w:t xml:space="preserve"> </w:t>
      </w:r>
      <w:r>
        <w:t xml:space="preserve">são abreviados.</w:t>
      </w:r>
    </w:p>
    <w:p>
      <w:pPr>
        <w:pStyle w:val="BodyText"/>
      </w:pPr>
      <w:r>
        <w:t xml:space="preserve">Incluídos: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cohen2009.pdf</w:t>
      </w:r>
      <w:r>
        <w:t xml:space="preserve"> </w:t>
      </w:r>
      <w:r>
        <w:t xml:space="preserve">— Cohen et al., 2009 (JAMA). ECR de oxigênio em alto fluxo.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medrea2022.pdf</w:t>
      </w:r>
      <w:r>
        <w:t xml:space="preserve"> </w:t>
      </w:r>
      <w:r>
        <w:t xml:space="preserve">— Medrea et al., 2022 (Headache).</w:t>
      </w:r>
      <w:r>
        <w:t xml:space="preserve"> </w:t>
      </w:r>
      <w:r>
        <w:t xml:space="preserve">Meta-análise em rede de tratamentos agudos para cefaleia em salvas.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mo2022.pdf</w:t>
      </w:r>
      <w:r>
        <w:t xml:space="preserve"> </w:t>
      </w:r>
      <w:r>
        <w:t xml:space="preserve">— Mo et al., 2022 (J Clin Neurol).</w:t>
      </w:r>
      <w:r>
        <w:t xml:space="preserve"> </w:t>
      </w:r>
      <w:r>
        <w:t xml:space="preserve">Revisão sobre oxigenoterapia em cefaleia em salvas, enxaqueca e outros tipos de cefaleia.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rozen2013.pdf</w:t>
      </w:r>
      <w:r>
        <w:t xml:space="preserve"> </w:t>
      </w:r>
      <w:r>
        <w:t xml:space="preserve">— Rozen &amp; Fishman, 2013 (Pain Medicine).</w:t>
      </w:r>
      <w:r>
        <w:t xml:space="preserve"> </w:t>
      </w:r>
      <w:r>
        <w:t xml:space="preserve">Estudo-piloto com oxigênio por válvula de demanda.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goadsby2025.pdf</w:t>
      </w:r>
      <w:r>
        <w:t xml:space="preserve"> </w:t>
      </w:r>
      <w:r>
        <w:t xml:space="preserve">— Goadsby et al., 2025 (Cephalalgia Reports).</w:t>
      </w:r>
      <w:r>
        <w:t xml:space="preserve"> </w:t>
      </w:r>
      <w:r>
        <w:t xml:space="preserve">Pesquisa de experiência do paciente comparando DVO com alto fluxo padrão.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tepper2017.pdf</w:t>
      </w:r>
      <w:r>
        <w:t xml:space="preserve"> </w:t>
      </w:r>
      <w:r>
        <w:t xml:space="preserve">— Tepper et al., 2017 (Headache).</w:t>
      </w:r>
      <w:r>
        <w:t xml:space="preserve"> </w:t>
      </w:r>
      <w:r>
        <w:t xml:space="preserve">Guia prático de prescrição.</w:t>
      </w:r>
    </w:p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Artigos em texto completo</dc:title>
  <dc:creator/>
  <cp:keywords/>
  <dcterms:created xsi:type="dcterms:W3CDTF">2026-05-27T10:35:14Z</dcterms:created>
  <dcterms:modified xsi:type="dcterms:W3CDTF">2026-05-27T10:35:14Z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