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Title"/>
      </w:pPr>
      <w:r>
        <w:t xml:space="preserve">Diretrizes sobre oxigênio para cefaleia em salvas</w:t>
      </w:r>
    </w:p>
    <w:bookmarkStart w:id="17" w:name="X7738b05d6da07640aa52a861461650b53a9357d"/>
    <w:p>
      <w:pPr>
        <w:pStyle w:val="Heading1"/>
      </w:pPr>
      <w:r>
        <w:t xml:space="preserve">Diretrizes sobre oxigênio para cefaleia em salvas</w:t>
      </w:r>
    </w:p>
    <w:p>
      <w:pPr>
        <w:pStyle w:val="FirstParagraph"/>
      </w:pPr>
      <w:r>
        <w:t xml:space="preserve">Um resumo de uma página das principais diretrizes que recomendam o</w:t>
      </w:r>
      <w:r>
        <w:t xml:space="preserve"> </w:t>
      </w:r>
      <w:r>
        <w:t xml:space="preserve">oxigênio em alto fluxo como terapia aguda de primeira linha para</w:t>
      </w:r>
      <w:r>
        <w:t xml:space="preserve"> </w:t>
      </w:r>
      <w:r>
        <w:t xml:space="preserve">cefaleia em salvas.</w:t>
      </w:r>
    </w:p>
    <w:bookmarkStart w:id="9" w:name="european-academy-of-neurology-ean"/>
    <w:p>
      <w:pPr>
        <w:pStyle w:val="Heading2"/>
      </w:pPr>
      <w:r>
        <w:t xml:space="preserve">European Academy of Neurology (EAN)</w:t>
      </w:r>
    </w:p>
    <w:p>
      <w:pPr>
        <w:pStyle w:val="BlockText"/>
      </w:pPr>
      <w:r>
        <w:t xml:space="preserve">“A primeira opção para o tratamento dos ataques agudos de cefaleia em</w:t>
      </w:r>
      <w:r>
        <w:t xml:space="preserve"> </w:t>
      </w:r>
      <w:r>
        <w:t xml:space="preserve">salvas deve ser a injeção subcutânea de sumatriptan 6 mg ou a</w:t>
      </w:r>
      <w:r>
        <w:t xml:space="preserve"> </w:t>
      </w:r>
      <w:r>
        <w:t xml:space="preserve">inalação de oxigênio 100% a pelo menos 12 L/min durante 15 min.”</w:t>
      </w:r>
    </w:p>
    <w:bookmarkEnd w:id="9"/>
    <w:bookmarkStart w:id="10" w:name="american-headache-society-ahs"/>
    <w:p>
      <w:pPr>
        <w:pStyle w:val="Heading2"/>
      </w:pPr>
      <w:r>
        <w:t xml:space="preserve">American Headache Society (AHS)</w:t>
      </w:r>
    </w:p>
    <w:p>
      <w:pPr>
        <w:pStyle w:val="FirstParagraph"/>
      </w:pPr>
      <w:r>
        <w:t xml:space="preserve">O oxigênio em alto fluxo (tipicamente 6–12 L/min por máscara não</w:t>
      </w:r>
      <w:r>
        <w:t xml:space="preserve"> </w:t>
      </w:r>
      <w:r>
        <w:t xml:space="preserve">reinalante) é reconhecido como</w:t>
      </w:r>
      <w:r>
        <w:t xml:space="preserve"> </w:t>
      </w:r>
      <w:r>
        <w:rPr>
          <w:b/>
          <w:bCs/>
        </w:rPr>
        <w:t xml:space="preserve">tratamento agudo de nível A</w:t>
      </w:r>
      <w:r>
        <w:t xml:space="preserve"> </w:t>
      </w:r>
      <w:r>
        <w:t xml:space="preserve">para</w:t>
      </w:r>
      <w:r>
        <w:t xml:space="preserve"> </w:t>
      </w:r>
      <w:r>
        <w:t xml:space="preserve">cefaleia em salvas.</w:t>
      </w:r>
    </w:p>
    <w:bookmarkEnd w:id="10"/>
    <w:bookmarkStart w:id="11" w:name="nice-cg150-reino-unido"/>
    <w:p>
      <w:pPr>
        <w:pStyle w:val="Heading2"/>
      </w:pPr>
      <w:r>
        <w:t xml:space="preserve">NICE CG150 (Reino Unido)</w:t>
      </w:r>
    </w:p>
    <w:p>
      <w:pPr>
        <w:pStyle w:val="BlockText"/>
      </w:pPr>
      <w:r>
        <w:t xml:space="preserve">“Ofereça oxigênio e/ou um triptano subcutâneo ou nasal para o</w:t>
      </w:r>
      <w:r>
        <w:t xml:space="preserve"> </w:t>
      </w:r>
      <w:r>
        <w:t xml:space="preserve">tratamento agudo da cefaleia em salvas.”</w:t>
      </w:r>
    </w:p>
    <w:p>
      <w:pPr>
        <w:pStyle w:val="BlockText"/>
      </w:pPr>
      <w:r>
        <w:t xml:space="preserve">“Use oxigênio 100% a uma taxa de fluxo de pelo menos 12 litros por</w:t>
      </w:r>
      <w:r>
        <w:t xml:space="preserve"> </w:t>
      </w:r>
      <w:r>
        <w:t xml:space="preserve">minuto com máscara não reinalante e bolsa reservatório, e providencie</w:t>
      </w:r>
      <w:r>
        <w:t xml:space="preserve"> </w:t>
      </w:r>
      <w:r>
        <w:t xml:space="preserve">o fornecimento de oxigênio domiciliar e ambulatorial.”</w:t>
      </w:r>
    </w:p>
    <w:bookmarkEnd w:id="11"/>
    <w:bookmarkStart w:id="13" w:name="X53d40049a10b06743d648c1dbb2ebf71764e131"/>
    <w:p>
      <w:pPr>
        <w:pStyle w:val="Heading2"/>
      </w:pPr>
      <w:r>
        <w:t xml:space="preserve">NHS Scotland: Right Decisions for cluster headache</w:t>
      </w:r>
    </w:p>
    <w:p>
      <w:pPr>
        <w:pStyle w:val="FirstParagraph"/>
      </w:pPr>
      <w:r>
        <w:t xml:space="preserve">A orientação mais acessível ao paciente sobre taxa de fluxo de</w:t>
      </w:r>
      <w:r>
        <w:t xml:space="preserve"> </w:t>
      </w:r>
      <w:r>
        <w:t xml:space="preserve">oxigênio e padrão de uso:</w:t>
      </w:r>
    </w:p>
    <w:p>
      <w:pPr>
        <w:pStyle w:val="Compact"/>
        <w:numPr>
          <w:ilvl w:val="0"/>
          <w:numId w:val="1001"/>
        </w:numPr>
      </w:pPr>
      <w:r>
        <w:t xml:space="preserve">Oxigênio 100% a</w:t>
      </w:r>
      <w:r>
        <w:t xml:space="preserve"> </w:t>
      </w:r>
      <w:r>
        <w:rPr>
          <w:b/>
          <w:bCs/>
        </w:rPr>
        <w:t xml:space="preserve">10–15 L/min por 15–20 minutos</w:t>
      </w:r>
      <w:r>
        <w:t xml:space="preserve"> </w:t>
      </w:r>
      <w:r>
        <w:t xml:space="preserve">por máscara não</w:t>
      </w:r>
      <w:r>
        <w:t xml:space="preserve"> </w:t>
      </w:r>
      <w:r>
        <w:t xml:space="preserve">reinalante.</w:t>
      </w:r>
    </w:p>
    <w:p>
      <w:pPr>
        <w:pStyle w:val="Compact"/>
        <w:numPr>
          <w:ilvl w:val="0"/>
          <w:numId w:val="1001"/>
        </w:numPr>
      </w:pPr>
      <w:r>
        <w:rPr>
          <w:b/>
          <w:bCs/>
        </w:rPr>
        <w:t xml:space="preserve">Sem limite máximo de uso.</w:t>
      </w:r>
    </w:p>
    <w:p>
      <w:pPr>
        <w:pStyle w:val="Compact"/>
        <w:numPr>
          <w:ilvl w:val="0"/>
          <w:numId w:val="1001"/>
        </w:numPr>
      </w:pPr>
      <w:r>
        <w:rPr>
          <w:b/>
          <w:bCs/>
        </w:rPr>
        <w:t xml:space="preserve">Válvula de demanda</w:t>
      </w:r>
      <w:r>
        <w:t xml:space="preserve"> </w:t>
      </w:r>
      <w:r>
        <w:t xml:space="preserve">disponível mediante solicitação.</w:t>
      </w:r>
    </w:p>
    <w:p>
      <w:pPr>
        <w:pStyle w:val="FirstParagraph"/>
      </w:pPr>
      <w:hyperlink r:id="rId12">
        <w:r>
          <w:rPr>
            <w:rStyle w:val="Hyperlink"/>
          </w:rPr>
          <w:t xml:space="preserve">https://www.rightdecisions.scot.nhs.uk/neurology-pathways/headache/9-cluster-headache-guidance/</w:t>
        </w:r>
      </w:hyperlink>
    </w:p>
    <w:bookmarkEnd w:id="13"/>
    <w:bookmarkStart w:id="15" w:name="eua-medicare-lcd-l33797"/>
    <w:p>
      <w:pPr>
        <w:pStyle w:val="Heading2"/>
      </w:pPr>
      <w:r>
        <w:t xml:space="preserve">EUA: Medicare LCD L33797</w:t>
      </w:r>
    </w:p>
    <w:p>
      <w:pPr>
        <w:pStyle w:val="FirstParagraph"/>
      </w:pPr>
      <w:r>
        <w:t xml:space="preserve">A cefaleia em salvas está listada como condição qualificadora do</w:t>
      </w:r>
      <w:r>
        <w:t xml:space="preserve"> </w:t>
      </w:r>
      <w:r>
        <w:rPr>
          <w:b/>
          <w:bCs/>
        </w:rPr>
        <w:t xml:space="preserve">Grupo III</w:t>
      </w:r>
      <w:r>
        <w:t xml:space="preserve"> </w:t>
      </w:r>
      <w:r>
        <w:t xml:space="preserve">para oxigênio domiciliar na Local Coverage Determination</w:t>
      </w:r>
      <w:r>
        <w:t xml:space="preserve"> </w:t>
      </w:r>
      <w:r>
        <w:t xml:space="preserve">L33797 do Medicare. Incluída aqui para referência cruzada; a</w:t>
      </w:r>
      <w:r>
        <w:t xml:space="preserve"> </w:t>
      </w:r>
      <w:r>
        <w:t xml:space="preserve">documentação LCD de suporte está no pacote dos EUA.</w:t>
      </w:r>
    </w:p>
    <w:p>
      <w:pPr>
        <w:pStyle w:val="BodyText"/>
      </w:pPr>
      <w:hyperlink r:id="rId14">
        <w:r>
          <w:rPr>
            <w:rStyle w:val="Hyperlink"/>
          </w:rPr>
          <w:t xml:space="preserve">https://www.cms.gov/medicare-coverage-database/view/lcd.aspx?lcdid=33797</w:t>
        </w:r>
      </w:hyperlink>
    </w:p>
    <w:bookmarkEnd w:id="15"/>
    <w:bookmarkStart w:id="16" w:name="procure-pela-sua-diretriz-local"/>
    <w:p>
      <w:pPr>
        <w:pStyle w:val="Heading2"/>
      </w:pPr>
      <w:r>
        <w:t xml:space="preserve">Procure pela sua diretriz local</w:t>
      </w:r>
    </w:p>
    <w:p>
      <w:pPr>
        <w:pStyle w:val="FirstParagraph"/>
      </w:pPr>
      <w:r>
        <w:t xml:space="preserve">Se o seu país tem uma sociedade nacional de cefaleia ou autoridade</w:t>
      </w:r>
      <w:r>
        <w:t xml:space="preserve"> </w:t>
      </w:r>
      <w:r>
        <w:t xml:space="preserve">médica que tenha publicado uma diretriz sobre cefaleia em salvas, cite-a</w:t>
      </w:r>
      <w:r>
        <w:t xml:space="preserve"> </w:t>
      </w:r>
      <w:r>
        <w:t xml:space="preserve">também. Exemplos (não exaustivo):</w:t>
      </w:r>
    </w:p>
    <w:p>
      <w:pPr>
        <w:pStyle w:val="Compact"/>
        <w:numPr>
          <w:ilvl w:val="0"/>
          <w:numId w:val="1002"/>
        </w:numPr>
      </w:pPr>
      <w:r>
        <w:rPr>
          <w:b/>
          <w:bCs/>
        </w:rPr>
        <w:t xml:space="preserve">Alemanha:</w:t>
      </w:r>
      <w:r>
        <w:t xml:space="preserve"> </w:t>
      </w:r>
      <w:r>
        <w:t xml:space="preserve">Deutsche Migräne- und Kopfschmerzgesellschaft (DMKG).</w:t>
      </w:r>
    </w:p>
    <w:p>
      <w:pPr>
        <w:pStyle w:val="Compact"/>
        <w:numPr>
          <w:ilvl w:val="0"/>
          <w:numId w:val="1002"/>
        </w:numPr>
      </w:pPr>
      <w:r>
        <w:rPr>
          <w:b/>
          <w:bCs/>
        </w:rPr>
        <w:t xml:space="preserve">França:</w:t>
      </w:r>
      <w:r>
        <w:t xml:space="preserve"> </w:t>
      </w:r>
      <w:r>
        <w:t xml:space="preserve">Société Française d’Étude des Migraines et Céphalées</w:t>
      </w:r>
      <w:r>
        <w:t xml:space="preserve"> </w:t>
      </w:r>
      <w:r>
        <w:t xml:space="preserve">(SFEMC).</w:t>
      </w:r>
    </w:p>
    <w:p>
      <w:pPr>
        <w:pStyle w:val="Compact"/>
        <w:numPr>
          <w:ilvl w:val="0"/>
          <w:numId w:val="1002"/>
        </w:numPr>
      </w:pPr>
      <w:r>
        <w:rPr>
          <w:b/>
          <w:bCs/>
        </w:rPr>
        <w:t xml:space="preserve">Itália:</w:t>
      </w:r>
      <w:r>
        <w:t xml:space="preserve"> </w:t>
      </w:r>
      <w:r>
        <w:t xml:space="preserve">Società Italiana per lo Studio delle Cefalee (SISC).</w:t>
      </w:r>
    </w:p>
    <w:p>
      <w:pPr>
        <w:pStyle w:val="Compact"/>
        <w:numPr>
          <w:ilvl w:val="0"/>
          <w:numId w:val="1002"/>
        </w:numPr>
      </w:pPr>
      <w:r>
        <w:rPr>
          <w:b/>
          <w:bCs/>
        </w:rPr>
        <w:t xml:space="preserve">Espanha:</w:t>
      </w:r>
      <w:r>
        <w:t xml:space="preserve"> </w:t>
      </w:r>
      <w:r>
        <w:t xml:space="preserve">Sociedad Española de Neurología (SEN).</w:t>
      </w:r>
    </w:p>
    <w:p>
      <w:pPr>
        <w:pStyle w:val="Compact"/>
        <w:numPr>
          <w:ilvl w:val="0"/>
          <w:numId w:val="1002"/>
        </w:numPr>
      </w:pPr>
      <w:r>
        <w:rPr>
          <w:b/>
          <w:bCs/>
        </w:rPr>
        <w:t xml:space="preserve">Canadá:</w:t>
      </w:r>
      <w:r>
        <w:t xml:space="preserve"> </w:t>
      </w:r>
      <w:r>
        <w:t xml:space="preserve">Canadian Headache Society.</w:t>
      </w:r>
    </w:p>
    <w:p>
      <w:pPr>
        <w:pStyle w:val="Compact"/>
        <w:numPr>
          <w:ilvl w:val="0"/>
          <w:numId w:val="1002"/>
        </w:numPr>
      </w:pPr>
      <w:r>
        <w:rPr>
          <w:b/>
          <w:bCs/>
        </w:rPr>
        <w:t xml:space="preserve">Austrália / Nova Zelândia:</w:t>
      </w:r>
      <w:r>
        <w:t xml:space="preserve"> </w:t>
      </w:r>
      <w:r>
        <w:t xml:space="preserve">Neurology Society of Australia.</w:t>
      </w:r>
    </w:p>
    <w:p>
      <w:pPr>
        <w:pStyle w:val="FirstParagraph"/>
      </w:pPr>
      <w:r>
        <w:t xml:space="preserve">A maioria das sociedades nacionais de cefaleia endossa a posição da EAN</w:t>
      </w:r>
      <w:r>
        <w:t xml:space="preserve"> </w:t>
      </w:r>
      <w:r>
        <w:t xml:space="preserve">e/ou da AHS sobre o oxigênio como terapia aguda de primeira linha.</w:t>
      </w:r>
    </w:p>
    <w:bookmarkEnd w:id="16"/>
    <w:bookmarkEnd w:id="17"/>
    <w:sectPr>
      <w:footnotePr>
        <w:numRestart w:val="eachSect"/>
      </w:footnotePr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r="http://schemas.openxmlformats.org/officeDocument/2006/relationships" xmlns:w="http://schemas.openxmlformats.org/wordprocessingml/2006/main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w="http://schemas.openxmlformats.org/wordprocessingml/2006/main"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991">
    <w:nsid w:val="0000A991"/>
    <w:multiLevelType w:val="multilevel"/>
    <w:lvl w:ilvl="0"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000">
    <w:abstractNumId w:val="990"/>
  </w:num>
  <w:num w:numId="1001">
    <w:abstractNumId w:val="991"/>
  </w:num>
  <w:num w:numId="1002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proofState w:grammar="clean" w:spelling="clean"/>
  <w:stylePaneFormatFilter w:val="0004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rsids>
  </w:rsids>
  <w:themeFontLang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zh-CN" w:val="en-US"/>
      </w:rPr>
    </w:rPrDefault>
    <w:pPrDefault>
      <w:pPr>
        <w:spacing w:after="200"/>
      </w:pPr>
    </w:pPrDefault>
  </w:docDefaults>
  <w:latentStyles w:count="276" w:defLockedState="0" w:defQFormat="0" w:defSemiHidden="0" w:defUIPriority="0" w:defUnhideWhenUsed="0"/>
  <w:style w:default="1" w:styleId="Normal" w:type="paragraph">
    <w:name w:val="Normal"/>
    <w:qFormat/>
  </w:style>
  <w:style w:styleId="BodyText" w:type="paragraph">
    <w:name w:val="Body Text"/>
    <w:basedOn w:val="Normal"/>
    <w:link w:val="BodyTextChar"/>
    <w:qFormat/>
    <w:pPr>
      <w:spacing w:after="180" w:before="180"/>
    </w:pPr>
  </w:style>
  <w:style w:customStyle="1" w:styleId="FirstParagraph" w:type="paragraph">
    <w:name w:val="First Paragraph"/>
    <w:basedOn w:val="BodyText"/>
    <w:next w:val="BodyText"/>
    <w:qFormat/>
  </w:style>
  <w:style w:customStyle="1" w:styleId="Compact" w:type="paragraph">
    <w:name w:val="Compact"/>
    <w:basedOn w:val="BodyText"/>
    <w:qFormat/>
    <w:pPr>
      <w:spacing w:after="36" w:before="36"/>
    </w:pPr>
  </w:style>
  <w:style w:styleId="Title" w:type="paragraph">
    <w:name w:val="Title"/>
    <w:basedOn w:val="Normal"/>
    <w:next w:val="BodyText"/>
    <w:link w:val="TitleChar"/>
    <w:uiPriority w:val="10"/>
    <w:qFormat/>
    <w:rsid w:val="00A10FD9"/>
    <w:pPr>
      <w:spacing w:after="80" w:line="240" w:lineRule="auto"/>
      <w:contextualSpacing/>
      <w:jc w:val="center"/>
    </w:pPr>
    <w:rPr>
      <w:rFonts w:asciiTheme="majorHAnsi" w:cstheme="majorBidi" w:eastAsiaTheme="majorEastAsia" w:hAnsiTheme="majorHAnsi"/>
      <w:sz w:val="56"/>
      <w:szCs w:val="56"/>
    </w:rPr>
  </w:style>
  <w:style w:customStyle="1" w:styleId="TitleChar" w:type="character">
    <w:name w:val="Title Char"/>
    <w:basedOn w:val="DefaultParagraphFont"/>
    <w:link w:val="Title"/>
    <w:uiPriority w:val="10"/>
    <w:rsid w:val="00A10FD9"/>
    <w:rPr>
      <w:rFonts w:asciiTheme="majorHAnsi" w:cstheme="majorBidi" w:eastAsiaTheme="majorEastAsia" w:hAnsiTheme="majorHAnsi"/>
      <w:sz w:val="56"/>
      <w:szCs w:val="56"/>
    </w:rPr>
  </w:style>
  <w:style w:styleId="Subtitle" w:type="paragraph">
    <w:name w:val="Subtitle"/>
    <w:basedOn w:val="Title"/>
    <w:next w:val="BodyText"/>
    <w:link w:val="SubtitleChar"/>
    <w:uiPriority w:val="11"/>
    <w:qFormat/>
    <w:rsid w:val="00A10FD9"/>
    <w:pPr>
      <w:numPr>
        <w:ilvl w:val="1"/>
      </w:numPr>
    </w:pPr>
    <w:rPr>
      <w:rFonts w:cstheme="majorBidi" w:eastAsiaTheme="majorEastAsia"/>
      <w:spacing w:val="15"/>
      <w:sz w:val="28"/>
      <w:szCs w:val="28"/>
    </w:rPr>
  </w:style>
  <w:style w:customStyle="1" w:styleId="SubtitleChar" w:type="character">
    <w:name w:val="Subtitle Char"/>
    <w:basedOn w:val="DefaultParagraphFont"/>
    <w:link w:val="Subtitle"/>
    <w:uiPriority w:val="11"/>
    <w:rsid w:val="00A10FD9"/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uthor" w:type="paragraph">
    <w:name w:val="Author"/>
    <w:basedOn w:val="Title"/>
    <w:next w:val="BodyText"/>
    <w:qFormat/>
    <w:pPr>
      <w:keepNext/>
      <w:keepLines/>
    </w:pPr>
    <w:rPr>
      <w:sz w:val="24"/>
      <w:szCs w:val="24"/>
    </w:rPr>
  </w:style>
  <w:style w:styleId="Date" w:type="paragraph">
    <w:name w:val="Date"/>
    <w:basedOn w:val="Title"/>
    <w:next w:val="BodyText"/>
    <w:qFormat/>
    <w:pPr>
      <w:keepNext/>
      <w:keepLines/>
    </w:pPr>
    <w:rPr>
      <w:sz w:val="24"/>
      <w:szCs w:val="24"/>
    </w:rPr>
  </w:style>
  <w:style w:customStyle="1" w:styleId="AbstractTitle" w:type="paragraph">
    <w:name w:val="Abstract Title"/>
    <w:basedOn w:val="Normal"/>
    <w:next w:val="Abstract"/>
    <w:qFormat/>
    <w:pPr>
      <w:keepNext/>
      <w:keepLines/>
      <w:spacing w:after="0" w:before="300"/>
      <w:jc w:val="center"/>
    </w:pPr>
    <w:rPr>
      <w:b/>
      <w:sz w:val="20"/>
      <w:szCs w:val="20"/>
    </w:rPr>
  </w:style>
  <w:style w:customStyle="1" w:styleId="Abstract" w:type="paragraph">
    <w:name w:val="Abstract"/>
    <w:basedOn w:val="Normal"/>
    <w:next w:val="BodyText"/>
    <w:qFormat/>
    <w:pPr>
      <w:keepNext/>
      <w:keepLines/>
      <w:spacing w:after="300" w:before="100"/>
    </w:pPr>
    <w:rPr>
      <w:sz w:val="20"/>
      <w:szCs w:val="20"/>
    </w:rPr>
  </w:style>
  <w:style w:styleId="Bibliography" w:type="paragraph">
    <w:name w:val="Bibliography"/>
    <w:basedOn w:val="Normal"/>
    <w:next w:val="Bibliography"/>
    <w:qFormat/>
    <w:pPr/>
    <w:rPr/>
  </w:style>
  <w:style w:styleId="Heading1" w:type="paragraph">
    <w:name w:val="heading 1"/>
    <w:basedOn w:val="Normal"/>
    <w:next w:val="BodyText"/>
    <w:link w:val="Heading1Char"/>
    <w:uiPriority w:val="9"/>
    <w:qFormat/>
    <w:rsid w:val="00A10FD9"/>
    <w:pPr>
      <w:keepNext/>
      <w:keepLines/>
      <w:spacing w:after="80" w:before="360"/>
      <w:outlineLvl w:val="0"/>
    </w:pPr>
    <w:rPr>
      <w:rFonts w:asciiTheme="majorHAnsi" w:cstheme="majorBidi" w:eastAsiaTheme="majorEastAsia" w:hAnsiTheme="majorHAnsi"/>
      <w:color w:themeColor="accent1" w:themeShade="BF" w:val="0F4761"/>
      <w:sz w:val="40"/>
      <w:szCs w:val="40"/>
    </w:rPr>
  </w:style>
  <w:style w:styleId="Heading2" w:type="paragraph">
    <w:name w:val="heading 2"/>
    <w:basedOn w:val="Normal"/>
    <w:next w:val="BodyText"/>
    <w:link w:val="Heading2Char"/>
    <w:uiPriority w:val="9"/>
    <w:semiHidden/>
    <w:unhideWhenUsed/>
    <w:qFormat/>
    <w:rsid w:val="00A10FD9"/>
    <w:pPr>
      <w:keepNext/>
      <w:keepLines/>
      <w:spacing w:after="80" w:before="160"/>
      <w:outlineLvl w:val="1"/>
    </w:pPr>
    <w:rPr>
      <w:rFonts w:asciiTheme="majorHAnsi" w:cstheme="majorBidi" w:eastAsiaTheme="majorEastAsia" w:hAnsiTheme="majorHAnsi"/>
      <w:color w:themeColor="accent1" w:themeShade="BF" w:val="0F4761"/>
      <w:sz w:val="32"/>
      <w:szCs w:val="32"/>
    </w:rPr>
  </w:style>
  <w:style w:styleId="Heading3" w:type="paragraph">
    <w:name w:val="heading 3"/>
    <w:basedOn w:val="Normal"/>
    <w:next w:val="BodyText"/>
    <w:link w:val="Heading3Char"/>
    <w:uiPriority w:val="9"/>
    <w:semiHidden/>
    <w:unhideWhenUsed/>
    <w:qFormat/>
    <w:rsid w:val="00A10FD9"/>
    <w:pPr>
      <w:keepNext/>
      <w:keepLines/>
      <w:spacing w:after="80" w:before="160"/>
      <w:outlineLvl w:val="2"/>
    </w:pPr>
    <w:rPr>
      <w:rFonts w:cstheme="majorBidi" w:eastAsiaTheme="majorEastAsia"/>
      <w:color w:themeColor="accent1" w:themeShade="BF" w:val="0F4761"/>
      <w:sz w:val="28"/>
      <w:szCs w:val="28"/>
    </w:rPr>
  </w:style>
  <w:style w:styleId="Heading4" w:type="paragraph">
    <w:name w:val="heading 4"/>
    <w:basedOn w:val="Normal"/>
    <w:next w:val="BodyText"/>
    <w:link w:val="Heading4Char"/>
    <w:uiPriority w:val="9"/>
    <w:semiHidden/>
    <w:unhideWhenUsed/>
    <w:qFormat/>
    <w:rsid w:val="00A10FD9"/>
    <w:pPr>
      <w:keepNext/>
      <w:keepLines/>
      <w:spacing w:after="40" w:before="80"/>
      <w:outlineLvl w:val="3"/>
    </w:pPr>
    <w:rPr>
      <w:rFonts w:cstheme="majorBidi" w:eastAsiaTheme="majorEastAsia"/>
      <w:i/>
      <w:iCs/>
      <w:color w:themeColor="accent1" w:themeShade="BF" w:val="0F4761"/>
    </w:rPr>
  </w:style>
  <w:style w:styleId="Heading5" w:type="paragraph">
    <w:name w:val="heading 5"/>
    <w:basedOn w:val="Normal"/>
    <w:next w:val="BodyText"/>
    <w:link w:val="Heading5Char"/>
    <w:uiPriority w:val="9"/>
    <w:semiHidden/>
    <w:unhideWhenUsed/>
    <w:qFormat/>
    <w:rsid w:val="00A10FD9"/>
    <w:pPr>
      <w:keepNext/>
      <w:keepLines/>
      <w:spacing w:after="40" w:before="80"/>
      <w:outlineLvl w:val="4"/>
    </w:pPr>
    <w:rPr>
      <w:rFonts w:cstheme="majorBidi" w:eastAsiaTheme="majorEastAsia"/>
      <w:color w:themeColor="accent1" w:themeShade="BF" w:val="0F4761"/>
    </w:rPr>
  </w:style>
  <w:style w:styleId="Heading6" w:type="paragraph">
    <w:name w:val="heading 6"/>
    <w:basedOn w:val="Normal"/>
    <w:next w:val="BodyText"/>
    <w:link w:val="Heading6Char"/>
    <w:uiPriority w:val="9"/>
    <w:semiHidden/>
    <w:unhideWhenUsed/>
    <w:qFormat/>
    <w:rsid w:val="00A10FD9"/>
    <w:pPr>
      <w:keepNext/>
      <w:keepLines/>
      <w:spacing w:after="0" w:before="40"/>
      <w:outlineLvl w:val="5"/>
    </w:pPr>
    <w:rPr>
      <w:rFonts w:cstheme="majorBidi" w:eastAsiaTheme="majorEastAsia"/>
      <w:i/>
      <w:iCs/>
      <w:color w:themeColor="text1" w:themeTint="A6" w:val="595959"/>
    </w:rPr>
  </w:style>
  <w:style w:styleId="Heading7" w:type="paragraph">
    <w:name w:val="heading 7"/>
    <w:basedOn w:val="Normal"/>
    <w:next w:val="BodyText"/>
    <w:link w:val="Heading7Char"/>
    <w:uiPriority w:val="9"/>
    <w:semiHidden/>
    <w:unhideWhenUsed/>
    <w:qFormat/>
    <w:rsid w:val="00A10FD9"/>
    <w:pPr>
      <w:keepNext/>
      <w:keepLines/>
      <w:spacing w:after="0" w:before="40"/>
      <w:outlineLvl w:val="6"/>
    </w:pPr>
    <w:rPr>
      <w:rFonts w:cstheme="majorBidi" w:eastAsiaTheme="majorEastAsia"/>
      <w:color w:themeColor="text1" w:themeTint="A6" w:val="595959"/>
    </w:rPr>
  </w:style>
  <w:style w:styleId="Heading8" w:type="paragraph">
    <w:name w:val="heading 8"/>
    <w:basedOn w:val="Normal"/>
    <w:next w:val="BodyText"/>
    <w:link w:val="Heading8Char"/>
    <w:uiPriority w:val="9"/>
    <w:semiHidden/>
    <w:unhideWhenUsed/>
    <w:qFormat/>
    <w:rsid w:val="00A10FD9"/>
    <w:pPr>
      <w:keepNext/>
      <w:keepLines/>
      <w:spacing w:after="0"/>
      <w:outlineLvl w:val="7"/>
    </w:pPr>
    <w:rPr>
      <w:rFonts w:cstheme="majorBidi" w:eastAsiaTheme="majorEastAsia"/>
      <w:i/>
      <w:iCs/>
      <w:color w:themeColor="text1" w:themeTint="D8" w:val="272727"/>
    </w:rPr>
  </w:style>
  <w:style w:styleId="Heading9" w:type="paragraph">
    <w:name w:val="heading 9"/>
    <w:basedOn w:val="Normal"/>
    <w:next w:val="BodyText"/>
    <w:link w:val="Heading9Char"/>
    <w:uiPriority w:val="9"/>
    <w:semiHidden/>
    <w:unhideWhenUsed/>
    <w:qFormat/>
    <w:rsid w:val="00A10FD9"/>
    <w:pPr>
      <w:keepNext/>
      <w:keepLines/>
      <w:spacing w:after="0"/>
      <w:outlineLvl w:val="8"/>
    </w:pPr>
    <w:rPr>
      <w:rFonts w:cstheme="majorBidi" w:eastAsiaTheme="majorEastAsia"/>
      <w:color w:themeColor="text1" w:themeTint="D8" w:val="272727"/>
    </w:rPr>
  </w:style>
  <w:style w:customStyle="1" w:styleId="Heading1Char" w:type="character">
    <w:name w:val="Heading 1 Char"/>
    <w:basedOn w:val="DefaultParagraphFont"/>
    <w:link w:val="Heading1"/>
    <w:uiPriority w:val="9"/>
    <w:rsid w:val="00A10FD9"/>
    <w:rPr>
      <w:rFonts w:asciiTheme="majorHAnsi" w:cstheme="majorBidi" w:eastAsiaTheme="majorEastAsia" w:hAnsiTheme="majorHAnsi"/>
      <w:color w:themeColor="accent1" w:themeShade="BF" w:val="0F4761"/>
      <w:sz w:val="40"/>
      <w:szCs w:val="40"/>
    </w:rPr>
  </w:style>
  <w:style w:customStyle="1" w:styleId="Heading2Char" w:type="character">
    <w:name w:val="Heading 2 Char"/>
    <w:basedOn w:val="DefaultParagraphFont"/>
    <w:link w:val="Heading2"/>
    <w:uiPriority w:val="9"/>
    <w:semiHidden/>
    <w:rsid w:val="00A10FD9"/>
    <w:rPr>
      <w:rFonts w:asciiTheme="majorHAnsi" w:cstheme="majorBidi" w:eastAsiaTheme="majorEastAsia" w:hAnsiTheme="majorHAnsi"/>
      <w:color w:themeColor="accent1" w:themeShade="BF" w:val="0F4761"/>
      <w:sz w:val="32"/>
      <w:szCs w:val="32"/>
    </w:rPr>
  </w:style>
  <w:style w:customStyle="1" w:styleId="Heading3Char" w:type="character">
    <w:name w:val="Heading 3 Char"/>
    <w:basedOn w:val="DefaultParagraphFont"/>
    <w:link w:val="Heading3"/>
    <w:uiPriority w:val="9"/>
    <w:semiHidden/>
    <w:rsid w:val="00A10FD9"/>
    <w:rPr>
      <w:rFonts w:cstheme="majorBidi" w:eastAsiaTheme="majorEastAsia"/>
      <w:color w:themeColor="accent1" w:themeShade="BF" w:val="0F4761"/>
      <w:sz w:val="28"/>
      <w:szCs w:val="28"/>
    </w:rPr>
  </w:style>
  <w:style w:customStyle="1" w:styleId="Heading4Char" w:type="character">
    <w:name w:val="Heading 4 Char"/>
    <w:basedOn w:val="DefaultParagraphFont"/>
    <w:link w:val="Heading4"/>
    <w:uiPriority w:val="9"/>
    <w:semiHidden/>
    <w:rsid w:val="00A10FD9"/>
    <w:rPr>
      <w:rFonts w:cstheme="majorBidi" w:eastAsiaTheme="majorEastAsia"/>
      <w:i/>
      <w:iCs/>
      <w:color w:themeColor="accent1" w:themeShade="BF" w:val="0F4761"/>
    </w:rPr>
  </w:style>
  <w:style w:customStyle="1" w:styleId="Heading5Char" w:type="character">
    <w:name w:val="Heading 5 Char"/>
    <w:basedOn w:val="DefaultParagraphFont"/>
    <w:link w:val="Heading5"/>
    <w:uiPriority w:val="9"/>
    <w:semiHidden/>
    <w:rsid w:val="00A10FD9"/>
    <w:rPr>
      <w:rFonts w:cstheme="majorBidi" w:eastAsiaTheme="majorEastAsia"/>
      <w:color w:themeColor="accent1" w:themeShade="BF" w:val="0F4761"/>
    </w:rPr>
  </w:style>
  <w:style w:customStyle="1" w:styleId="Heading6Char" w:type="character">
    <w:name w:val="Heading 6 Char"/>
    <w:basedOn w:val="DefaultParagraphFont"/>
    <w:link w:val="Heading6"/>
    <w:uiPriority w:val="9"/>
    <w:semiHidden/>
    <w:rsid w:val="00A10FD9"/>
    <w:rPr>
      <w:rFonts w:cstheme="majorBidi" w:eastAsiaTheme="majorEastAsia"/>
      <w:i/>
      <w:iCs/>
      <w:color w:themeColor="text1" w:themeTint="A6" w:val="595959"/>
    </w:rPr>
  </w:style>
  <w:style w:customStyle="1" w:styleId="Heading7Char" w:type="character">
    <w:name w:val="Heading 7 Char"/>
    <w:basedOn w:val="DefaultParagraphFont"/>
    <w:link w:val="Heading7"/>
    <w:uiPriority w:val="9"/>
    <w:semiHidden/>
    <w:rsid w:val="00A10FD9"/>
    <w:rPr>
      <w:rFonts w:cstheme="majorBidi" w:eastAsiaTheme="majorEastAsia"/>
      <w:color w:themeColor="text1" w:themeTint="A6" w:val="595959"/>
    </w:rPr>
  </w:style>
  <w:style w:customStyle="1" w:styleId="Heading8Char" w:type="character">
    <w:name w:val="Heading 8 Char"/>
    <w:basedOn w:val="DefaultParagraphFont"/>
    <w:link w:val="Heading8"/>
    <w:uiPriority w:val="9"/>
    <w:semiHidden/>
    <w:rsid w:val="00A10FD9"/>
    <w:rPr>
      <w:rFonts w:cstheme="majorBidi" w:eastAsiaTheme="majorEastAsia"/>
      <w:i/>
      <w:iCs/>
      <w:color w:themeColor="text1" w:themeTint="D8" w:val="272727"/>
    </w:rPr>
  </w:style>
  <w:style w:customStyle="1" w:styleId="Heading9Char" w:type="character">
    <w:name w:val="Heading 9 Char"/>
    <w:basedOn w:val="DefaultParagraphFont"/>
    <w:link w:val="Heading9"/>
    <w:uiPriority w:val="9"/>
    <w:semiHidden/>
    <w:rsid w:val="00A10FD9"/>
    <w:rPr>
      <w:rFonts w:cstheme="majorBidi" w:eastAsiaTheme="majorEastAsia"/>
      <w:color w:themeColor="text1" w:themeTint="D8" w:val="272727"/>
    </w:rPr>
  </w:style>
  <w:style w:styleId="BlockText" w:type="paragraph">
    <w:name w:val="Block Text"/>
    <w:basedOn w:val="BodyText"/>
    <w:next w:val="BodyText"/>
    <w:uiPriority w:val="9"/>
    <w:unhideWhenUsed/>
    <w:qFormat/>
    <w:pPr>
      <w:spacing w:after="100" w:before="100"/>
      <w:ind w:firstLine="0" w:left="480" w:right="480"/>
    </w:pPr>
  </w:style>
  <w:style w:styleId="FootnoteText" w:type="paragraph">
    <w:name w:val="Footnote Text"/>
    <w:basedOn w:val="Normal"/>
    <w:next w:val="FootnoteText"/>
    <w:uiPriority w:val="9"/>
    <w:unhideWhenUsed/>
    <w:qFormat/>
  </w:style>
  <w:style w:styleId="FootnoteBlockText" w:type="paragraph">
    <w:name w:val="Footnote Block Text"/>
    <w:basedOn w:val="FootnoteText"/>
    <w:next w:val="FootnoteText"/>
    <w:uiPriority w:val="9"/>
    <w:unhideWhenUsed/>
    <w:qFormat/>
    <w:pPr>
      <w:spacing w:after="100" w:before="100"/>
      <w:ind w:firstLine="0" w:left="480" w:right="480"/>
    </w:pPr>
  </w:style>
  <w:style w:default="1" w:styleId="DefaultParagraphFont" w:type="character">
    <w:name w:val="Default Paragraph Font"/>
    <w:semiHidden/>
    <w:unhideWhenUsed/>
  </w:style>
  <w:style w:default="1" w:styleId="Table" w:type="table">
    <w:name w:val="Table"/>
    <w:basedOn w:val="TableNormal"/>
    <w:semiHidden/>
    <w:unhideWhenUsed/>
    <w:qFormat/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cPr>
        <w:tcBorders>
          <w:bottom w:val="single"/>
        </w:tcBorders>
        <w:vAlign w:val="bottom"/>
      </w:tcPr>
    </w:tblStylePr>
  </w:style>
  <w:style w:customStyle="1" w:styleId="DefinitionTerm" w:type="paragraph">
    <w:name w:val="Definition Term"/>
    <w:basedOn w:val="Normal"/>
    <w:next w:val="Definition"/>
    <w:pPr>
      <w:keepNext/>
      <w:keepLines/>
      <w:spacing w:after="0"/>
    </w:pPr>
    <w:rPr>
      <w:b/>
    </w:rPr>
  </w:style>
  <w:style w:customStyle="1" w:styleId="Definition" w:type="paragraph">
    <w:name w:val="Definition"/>
    <w:basedOn w:val="Normal"/>
  </w:style>
  <w:style w:styleId="Caption" w:type="paragraph">
    <w:name w:val="Caption"/>
    <w:basedOn w:val="Normal"/>
    <w:link w:val="BodyTextChar"/>
    <w:pPr>
      <w:spacing w:after="120" w:before="0"/>
    </w:pPr>
    <w:rPr>
      <w:i/>
    </w:rPr>
  </w:style>
  <w:style w:customStyle="1" w:styleId="TableCaption" w:type="paragraph">
    <w:name w:val="Table Caption"/>
    <w:basedOn w:val="Caption"/>
    <w:pPr>
      <w:keepNext/>
    </w:pPr>
  </w:style>
  <w:style w:customStyle="1" w:styleId="ImageCaption" w:type="paragraph">
    <w:name w:val="Image Caption"/>
    <w:basedOn w:val="Caption"/>
  </w:style>
  <w:style w:customStyle="1" w:styleId="Figure" w:type="paragraph">
    <w:name w:val="Figure"/>
    <w:basedOn w:val="Normal"/>
  </w:style>
  <w:style w:customStyle="1" w:styleId="CaptionedFigure" w:type="paragraph">
    <w:name w:val="Captioned Figure"/>
    <w:basedOn w:val="Figure"/>
    <w:pPr>
      <w:keepNext/>
    </w:pPr>
  </w:style>
  <w:style w:customStyle="1" w:styleId="BodyTextChar" w:type="character">
    <w:name w:val="Body Text Char"/>
    <w:basedOn w:val="DefaultParagraphFont"/>
    <w:link w:val="BodyText"/>
  </w:style>
  <w:style w:customStyle="1" w:styleId="VerbatimChar" w:type="character">
    <w:name w:val="Verbatim Char"/>
    <w:basedOn w:val="BodyTextChar"/>
    <w:rPr>
      <w:rFonts w:ascii="Consolas" w:hAnsi="Consolas"/>
      <w:sz w:val="22"/>
    </w:rPr>
  </w:style>
  <w:style w:customStyle="1" w:styleId="SectionNumber" w:type="character">
    <w:name w:val="Section Number"/>
    <w:basedOn w:val="BodyTextChar"/>
  </w:style>
  <w:style w:styleId="FootnoteReference" w:type="character">
    <w:name w:val="Footnote Reference"/>
    <w:basedOn w:val="BodyTextChar"/>
    <w:rPr>
      <w:vertAlign w:val="superscript"/>
    </w:rPr>
  </w:style>
  <w:style w:styleId="Hyperlink" w:type="character">
    <w:name w:val="Hyperlink"/>
    <w:basedOn w:val="BodyTextChar"/>
    <w:rPr>
      <w:color w:themeColor="accent1" w:val="4F81BD"/>
    </w:rPr>
  </w:style>
  <w:style w:styleId="TOCHeading" w:type="paragraph">
    <w:name w:val="TOC Heading"/>
    <w:basedOn w:val="Heading1"/>
    <w:next w:val="BodyText"/>
    <w:uiPriority w:val="39"/>
    <w:unhideWhenUsed/>
    <w:qFormat/>
    <w:pPr>
      <w:spacing w:before="240" w:line="259" w:lineRule="auto"/>
      <w:outlineLvl w:val="9"/>
    </w:pPr>
    <w:rPr>
      <w:rFonts w:asciiTheme="majorHAnsi" w:cstheme="majorBidi" w:eastAsiaTheme="majorEastAsia" w:hAnsiTheme="majorHAnsi"/>
      <w:b w:val="0"/>
      <w:bCs w:val="0"/>
      <w:color w:themeColor="accent1" w:themeShade="BF" w:val="365F91"/>
    </w:rPr>
  </w:style>
  <w:style w:type="paragraph" w:customStyle="1" w:styleId="SourceCode">
    <w:name w:val="Source Code"/>
    <w:basedOn w:val="Normal"/>
    <w:link w:val="VerbatimChar"/>
    <w:pPr>
      <w:wordWrap w:val="off"/>
    </w:pPr>
  </w:style>
  <w:style w:type="character" w:customStyle="1" w:styleId="KeywordTok">
    <w:name w:val="KeywordTok"/>
    <w:basedOn w:val="VerbatimChar"/>
    <w:rPr>
      <w:b/>
      <w:color w:val="007020"/>
    </w:rPr>
  </w:style>
  <w:style w:type="character" w:customStyle="1" w:styleId="DataTypeTok">
    <w:name w:val="DataTypeTok"/>
    <w:basedOn w:val="VerbatimChar"/>
    <w:rPr>
      <w:color w:val="902000"/>
    </w:rPr>
  </w:style>
  <w:style w:type="character" w:customStyle="1" w:styleId="DecValTok">
    <w:name w:val="DecValTok"/>
    <w:basedOn w:val="VerbatimChar"/>
    <w:rPr>
      <w:color w:val="40a070"/>
    </w:rPr>
  </w:style>
  <w:style w:type="character" w:customStyle="1" w:styleId="BaseNTok">
    <w:name w:val="BaseNTok"/>
    <w:basedOn w:val="VerbatimChar"/>
    <w:rPr>
      <w:color w:val="40a070"/>
    </w:rPr>
  </w:style>
  <w:style w:type="character" w:customStyle="1" w:styleId="FloatTok">
    <w:name w:val="FloatTok"/>
    <w:basedOn w:val="VerbatimChar"/>
    <w:rPr>
      <w:color w:val="40a070"/>
    </w:rPr>
  </w:style>
  <w:style w:type="character" w:customStyle="1" w:styleId="ConstantTok">
    <w:name w:val="ConstantTok"/>
    <w:basedOn w:val="VerbatimChar"/>
    <w:rPr>
      <w:color w:val="880000"/>
    </w:rPr>
  </w:style>
  <w:style w:type="character" w:customStyle="1" w:styleId="CharTok">
    <w:name w:val="CharTok"/>
    <w:basedOn w:val="VerbatimChar"/>
    <w:rPr>
      <w:color w:val="4070a0"/>
    </w:rPr>
  </w:style>
  <w:style w:type="character" w:customStyle="1" w:styleId="SpecialCharTok">
    <w:name w:val="SpecialCharTok"/>
    <w:basedOn w:val="VerbatimChar"/>
    <w:rPr>
      <w:color w:val="4070a0"/>
    </w:rPr>
  </w:style>
  <w:style w:type="character" w:customStyle="1" w:styleId="StringTok">
    <w:name w:val="StringTok"/>
    <w:basedOn w:val="VerbatimChar"/>
    <w:rPr>
      <w:color w:val="4070a0"/>
    </w:rPr>
  </w:style>
  <w:style w:type="character" w:customStyle="1" w:styleId="VerbatimStringTok">
    <w:name w:val="VerbatimStringTok"/>
    <w:basedOn w:val="VerbatimChar"/>
    <w:rPr>
      <w:color w:val="4070a0"/>
    </w:rPr>
  </w:style>
  <w:style w:type="character" w:customStyle="1" w:styleId="SpecialStringTok">
    <w:name w:val="SpecialStringTok"/>
    <w:basedOn w:val="VerbatimChar"/>
    <w:rPr>
      <w:color w:val="bb6688"/>
    </w:rPr>
  </w:style>
  <w:style w:type="character" w:customStyle="1" w:styleId="ImportTok">
    <w:name w:val="ImportTok"/>
    <w:basedOn w:val="VerbatimChar"/>
    <w:rPr>
      <w:b/>
      <w:color w:val="008000"/>
    </w:rPr>
  </w:style>
  <w:style w:type="character" w:customStyle="1" w:styleId="CommentTok">
    <w:name w:val="CommentTok"/>
    <w:basedOn w:val="VerbatimChar"/>
    <w:rPr>
      <w:i/>
      <w:color w:val="60a0b0"/>
    </w:rPr>
  </w:style>
  <w:style w:type="character" w:customStyle="1" w:styleId="DocumentationTok">
    <w:name w:val="DocumentationTok"/>
    <w:basedOn w:val="VerbatimChar"/>
    <w:rPr>
      <w:i/>
      <w:color w:val="ba2121"/>
    </w:rPr>
  </w:style>
  <w:style w:type="character" w:customStyle="1" w:styleId="AnnotationTok">
    <w:name w:val="AnnotationTok"/>
    <w:basedOn w:val="VerbatimChar"/>
    <w:rPr>
      <w:b/>
      <w:i/>
      <w:color w:val="60a0b0"/>
    </w:rPr>
  </w:style>
  <w:style w:type="character" w:customStyle="1" w:styleId="CommentVarTok">
    <w:name w:val="CommentVarTok"/>
    <w:basedOn w:val="VerbatimChar"/>
    <w:rPr>
      <w:b/>
      <w:i/>
      <w:color w:val="60a0b0"/>
    </w:rPr>
  </w:style>
  <w:style w:type="character" w:customStyle="1" w:styleId="OtherTok">
    <w:name w:val="OtherTok"/>
    <w:basedOn w:val="VerbatimChar"/>
    <w:rPr>
      <w:color w:val="007020"/>
    </w:rPr>
  </w:style>
  <w:style w:type="character" w:customStyle="1" w:styleId="FunctionTok">
    <w:name w:val="FunctionTok"/>
    <w:basedOn w:val="VerbatimChar"/>
    <w:rPr>
      <w:color w:val="06287e"/>
    </w:rPr>
  </w:style>
  <w:style w:type="character" w:customStyle="1" w:styleId="VariableTok">
    <w:name w:val="VariableTok"/>
    <w:basedOn w:val="VerbatimChar"/>
    <w:rPr>
      <w:color w:val="19177c"/>
    </w:rPr>
  </w:style>
  <w:style w:type="character" w:customStyle="1" w:styleId="ControlFlowTok">
    <w:name w:val="ControlFlowTok"/>
    <w:basedOn w:val="VerbatimChar"/>
    <w:rPr>
      <w:b/>
      <w:color w:val="007020"/>
    </w:rPr>
  </w:style>
  <w:style w:type="character" w:customStyle="1" w:styleId="OperatorTok">
    <w:name w:val="OperatorTok"/>
    <w:basedOn w:val="VerbatimChar"/>
    <w:rPr>
      <w:color w:val="666666"/>
    </w:rPr>
  </w:style>
  <w:style w:type="character" w:customStyle="1" w:styleId="BuiltInTok">
    <w:name w:val="BuiltInTok"/>
    <w:basedOn w:val="VerbatimChar"/>
    <w:rPr>
      <w:color w:val="008000"/>
    </w:rPr>
  </w:style>
  <w:style w:type="character" w:customStyle="1" w:styleId="ExtensionTok">
    <w:name w:val="ExtensionTok"/>
    <w:basedOn w:val="VerbatimChar"/>
    <w:rPr/>
  </w:style>
  <w:style w:type="character" w:customStyle="1" w:styleId="PreprocessorTok">
    <w:name w:val="PreprocessorTok"/>
    <w:basedOn w:val="VerbatimChar"/>
    <w:rPr>
      <w:color w:val="bc7a00"/>
    </w:rPr>
  </w:style>
  <w:style w:type="character" w:customStyle="1" w:styleId="AttributeTok">
    <w:name w:val="AttributeTok"/>
    <w:basedOn w:val="VerbatimChar"/>
    <w:rPr>
      <w:color w:val="7d9029"/>
    </w:rPr>
  </w:style>
  <w:style w:type="character" w:customStyle="1" w:styleId="RegionMarkerTok">
    <w:name w:val="RegionMarkerTok"/>
    <w:basedOn w:val="VerbatimChar"/>
    <w:rPr/>
  </w:style>
  <w:style w:type="character" w:customStyle="1" w:styleId="InformationTok">
    <w:name w:val="InformationTok"/>
    <w:basedOn w:val="VerbatimChar"/>
    <w:rPr>
      <w:b/>
      <w:i/>
      <w:color w:val="60a0b0"/>
    </w:rPr>
  </w:style>
  <w:style w:type="character" w:customStyle="1" w:styleId="WarningTok">
    <w:name w:val="WarningTok"/>
    <w:basedOn w:val="VerbatimChar"/>
    <w:rPr>
      <w:b/>
      <w:i/>
      <w:color w:val="60a0b0"/>
    </w:rPr>
  </w:style>
  <w:style w:type="character" w:customStyle="1" w:styleId="AlertTok">
    <w:name w:val="AlertTok"/>
    <w:basedOn w:val="VerbatimChar"/>
    <w:rPr>
      <w:b/>
      <w:color w:val="ff0000"/>
    </w:rPr>
  </w:style>
  <w:style w:type="character" w:customStyle="1" w:styleId="ErrorTok">
    <w:name w:val="ErrorTok"/>
    <w:basedOn w:val="VerbatimChar"/>
    <w:rPr>
      <w:b/>
      <w:color w:val="ff0000"/>
    </w:rPr>
  </w:style>
  <w:style w:type="character" w:customStyle="1" w:styleId="NormalTok">
    <w:name w:val="NormalTok"/>
    <w:basedOn w:val="VerbatimChar"/>
    <w:rPr/>
  </w:style>
</w:styles>
</file>

<file path=word/webSettings.xml><?xml version="1.0" encoding="utf-8"?>
<ns0:webSettings xmlns:ns0="http://schemas.openxmlformats.org/wordprocessingml/2006/main">
  <ns0:allowPNG/>
  <ns0:doNotSaveAsSingleFile/>
</ns0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8" Target="numbering.xml" /><Relationship Type="http://schemas.openxmlformats.org/officeDocument/2006/relationships/styles" Id="rId7" Target="styles.xml" /><Relationship Type="http://schemas.openxmlformats.org/officeDocument/2006/relationships/settings" Id="rId6" Target="settings.xml" /><Relationship Type="http://schemas.openxmlformats.org/officeDocument/2006/relationships/webSettings" Id="rId5" Target="webSettings.xml" /><Relationship Type="http://schemas.openxmlformats.org/officeDocument/2006/relationships/fontTable" Id="rId4" Target="fontTable.xml" /><Relationship Type="http://schemas.openxmlformats.org/officeDocument/2006/relationships/theme" Id="rId3" Target="theme/theme1.xml" /><Relationship Type="http://schemas.openxmlformats.org/officeDocument/2006/relationships/footnotes" Id="rId2" Target="footnotes.xml" /><Relationship Type="http://schemas.openxmlformats.org/officeDocument/2006/relationships/comments" Id="rId1" Target="comments.xml" /><Relationship Type="http://schemas.openxmlformats.org/officeDocument/2006/relationships/hyperlink" Id="rId14" Target="https://www.cms.gov/medicare-coverage-database/view/lcd.aspx?lcdid=33797" TargetMode="External" /><Relationship Type="http://schemas.openxmlformats.org/officeDocument/2006/relationships/hyperlink" Id="rId12" Target="https://www.rightdecisions.scot.nhs.uk/neurology-pathways/headache/9-cluster-headache-guidance/" TargetMode="External" /></Relationships>
</file>

<file path=word/_rels/footnotes.xml.rels><?xml version="1.0" encoding="UTF-8"?><Relationships xmlns="http://schemas.openxmlformats.org/package/2006/relationships"><Relationship Type="http://schemas.openxmlformats.org/officeDocument/2006/relationships/hyperlink" Id="rId14" Target="https://www.cms.gov/medicare-coverage-database/view/lcd.aspx?lcdid=33797" TargetMode="External" /><Relationship Type="http://schemas.openxmlformats.org/officeDocument/2006/relationships/hyperlink" Id="rId12" Target="https://www.rightdecisions.scot.nhs.uk/neurology-pathways/headache/9-cluster-headache-guidance/" TargetMode="Externa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Words>83</Words>
  <SharedDoc>false</SharedDoc>
  <HyperlinksChanged>false</HyperlinksChanged>
  <Lines>12</Lines>
  <AppVersion>12.0000</AppVersion>
  <LinksUpToDate>false</LinksUpToDate>
  <Application>Microsoft Word 12.0.0</Application>
  <CharactersWithSpaces>583</CharactersWithSpaces>
  <Template>Normal.dotm</Template>
  <DocSecurity>0</DocSecurity>
  <TotalTime>6</TotalTime>
  <ScaleCrop>false</ScaleCrop>
  <Characters>475</Characters>
  <Paragraphs>8</Paragraphs>
  <Pages>1</Pag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Diretrizes sobre oxigênio para cefaleia em salvas</dc:title>
  <dc:creator/>
  <cp:keywords/>
  <dcterms:created xsi:type="dcterms:W3CDTF">2026-05-27T10:35:15Z</dcterms:created>
  <dcterms:modified xsi:type="dcterms:W3CDTF">2026-05-27T10:35:15Z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