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Carta de necessidade médica: modelo para o médico prescritor</w:t>
      </w:r>
    </w:p>
    <w:bookmarkStart w:id="14" w:name="carta-de-necessidade-médica"/>
    <w:p>
      <w:pPr>
        <w:pStyle w:val="Heading1"/>
      </w:pPr>
      <w:r>
        <w:t xml:space="preserve">Carta de necessidade médica</w:t>
      </w:r>
    </w:p>
    <w:p>
      <w:pPr>
        <w:pStyle w:val="FirstParagraph"/>
      </w:pPr>
      <w:r>
        <w:rPr>
          <w:i/>
          <w:iCs/>
        </w:rPr>
        <w:t xml:space="preserve">Este é um modelo para o médico prescritor. Edite os campos entre</w:t>
      </w:r>
      <w:r>
        <w:rPr>
          <w:i/>
          <w:iCs/>
        </w:rPr>
        <w:t xml:space="preserve"> </w:t>
      </w:r>
      <w:r>
        <w:rPr>
          <w:i/>
          <w:iCs/>
        </w:rPr>
        <w:t xml:space="preserve">colchetes, assine e date.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[Papel timbrado da clínica]</w:t>
      </w:r>
    </w:p>
    <w:p>
      <w:pPr>
        <w:pStyle w:val="BodyText"/>
      </w:pPr>
      <w:r>
        <w:rPr>
          <w:b/>
          <w:bCs/>
        </w:rPr>
        <w:t xml:space="preserve">Data:</w:t>
      </w:r>
      <w:r>
        <w:t xml:space="preserve"> </w:t>
      </w:r>
      <w:r>
        <w:t xml:space="preserve">[Data]</w:t>
      </w:r>
    </w:p>
    <w:p>
      <w:pPr>
        <w:pStyle w:val="BodyText"/>
      </w:pPr>
      <w:r>
        <w:rPr>
          <w:b/>
          <w:bCs/>
        </w:rPr>
        <w:t xml:space="preserve">A quem possa interessar</w:t>
      </w:r>
      <w:r>
        <w:t xml:space="preserve"> </w:t>
      </w:r>
      <w:r>
        <w:t xml:space="preserve">(Fornecedor e/ou pagador)</w:t>
      </w:r>
    </w:p>
    <w:p>
      <w:r>
        <w:pict>
          <v:rect style="width:0;height:1.5pt" o:hralign="center" o:hrstd="t" o:hr="t"/>
        </w:pict>
      </w:r>
    </w:p>
    <w:bookmarkStart w:id="13" w:name="Xb34af84b087472a166fa2e5e460d552c6964f7b"/>
    <w:p>
      <w:pPr>
        <w:pStyle w:val="Heading2"/>
      </w:pPr>
      <w:r>
        <w:t xml:space="preserve">Ref.: [Nome completo do paciente], data de nascimento [DN], necessidade médica de oxigenoterapia domiciliar em alto fluxo</w:t>
      </w:r>
    </w:p>
    <w:p>
      <w:pPr>
        <w:pStyle w:val="FirstParagraph"/>
      </w:pPr>
      <w:r>
        <w:t xml:space="preserve">Sou o médico responsável por [Nome do paciente], que apresenta</w:t>
      </w:r>
      <w:r>
        <w:t xml:space="preserve"> </w:t>
      </w:r>
      <w:r>
        <w:t xml:space="preserve">diagnóstico confirmado de cefaleia em salvas [episódica / crônica]</w:t>
      </w:r>
      <w:r>
        <w:t xml:space="preserve"> </w:t>
      </w:r>
      <w:r>
        <w:t xml:space="preserve">(CID-10 G44.0[__]). A oxigenoterapia domiciliar em alto fluxo é</w:t>
      </w:r>
      <w:r>
        <w:t xml:space="preserve"> </w:t>
      </w:r>
      <w:r>
        <w:t xml:space="preserve">medicamente necessária para abortar os ataques deste paciente e</w:t>
      </w:r>
      <w:r>
        <w:t xml:space="preserve"> </w:t>
      </w:r>
      <w:r>
        <w:t xml:space="preserve">preservar sua funcionalidade diária.</w:t>
      </w:r>
    </w:p>
    <w:bookmarkStart w:id="9" w:name="resumo-clínico"/>
    <w:p>
      <w:pPr>
        <w:pStyle w:val="Heading3"/>
      </w:pPr>
      <w:r>
        <w:t xml:space="preserve">Resumo clínico</w:t>
      </w:r>
    </w:p>
    <w:p>
      <w:pPr>
        <w:pStyle w:val="FirstParagraph"/>
      </w:pPr>
      <w:r>
        <w:t xml:space="preserve">[Nome do paciente] preenche os critérios da ICHD-3 para cefaleia em</w:t>
      </w:r>
      <w:r>
        <w:t xml:space="preserve"> </w:t>
      </w:r>
      <w:r>
        <w:t xml:space="preserve">salvas, com [N] ataques por dia, cada um com duração de [duração]</w:t>
      </w:r>
      <w:r>
        <w:t xml:space="preserve"> </w:t>
      </w:r>
      <w:r>
        <w:t xml:space="preserve">minutos, caracterizados por dor unilateral intensa, orbitária ou</w:t>
      </w:r>
      <w:r>
        <w:t xml:space="preserve"> </w:t>
      </w:r>
      <w:r>
        <w:t xml:space="preserve">temporal, acompanhada de manifestações autonômicas ipsilaterais</w:t>
      </w:r>
      <w:r>
        <w:t xml:space="preserve"> </w:t>
      </w:r>
      <w:r>
        <w:t xml:space="preserve">(lacrimejamento, hiperemia conjuntival, rinorreia, congestão nasal,</w:t>
      </w:r>
      <w:r>
        <w:t xml:space="preserve"> </w:t>
      </w:r>
      <w:r>
        <w:t xml:space="preserve">edema palpebral e/ou inquietação durante os ataques). [Acrescente o</w:t>
      </w:r>
      <w:r>
        <w:t xml:space="preserve"> </w:t>
      </w:r>
      <w:r>
        <w:t xml:space="preserve">padrão e a duração do ciclo, se relevante.]</w:t>
      </w:r>
    </w:p>
    <w:p>
      <w:pPr>
        <w:pStyle w:val="BodyText"/>
      </w:pPr>
      <w:r>
        <w:t xml:space="preserve">Impacto funcional: os ataques causaram [faltas ao trabalho / sono</w:t>
      </w:r>
      <w:r>
        <w:t xml:space="preserve"> </w:t>
      </w:r>
      <w:r>
        <w:t xml:space="preserve">prejudicado / incapacidade de dirigir / atendimentos no pronto-socorro;</w:t>
      </w:r>
      <w:r>
        <w:t xml:space="preserve"> </w:t>
      </w:r>
      <w:r>
        <w:t xml:space="preserve">especificar].</w:t>
      </w:r>
    </w:p>
    <w:p>
      <w:pPr>
        <w:pStyle w:val="BodyText"/>
      </w:pPr>
      <w:r>
        <w:t xml:space="preserve">[Tratamentos agudos tentados: fármaco, dose, datas, resposta, eventos</w:t>
      </w:r>
      <w:r>
        <w:t xml:space="preserve"> </w:t>
      </w:r>
      <w:r>
        <w:t xml:space="preserve">adversos. Particularmente relevante caso seja exigida terapia em</w:t>
      </w:r>
      <w:r>
        <w:t xml:space="preserve"> </w:t>
      </w:r>
      <w:r>
        <w:t xml:space="preserve">etapas (step therapy).]</w:t>
      </w:r>
    </w:p>
    <w:bookmarkEnd w:id="9"/>
    <w:bookmarkStart w:id="10" w:name="por-que-oxigênio-e-por-que-em-alto-fluxo"/>
    <w:p>
      <w:pPr>
        <w:pStyle w:val="Heading3"/>
      </w:pPr>
      <w:r>
        <w:t xml:space="preserve">Por que oxigênio, e por que em alto fluxo</w:t>
      </w:r>
    </w:p>
    <w:p>
      <w:pPr>
        <w:pStyle w:val="FirstParagraph"/>
      </w:pPr>
      <w:r>
        <w:t xml:space="preserve">A inalação de oxigênio em alto fluxo por máscara não reinalante é</w:t>
      </w:r>
      <w:r>
        <w:t xml:space="preserve"> </w:t>
      </w:r>
      <w:r>
        <w:t xml:space="preserve">reconhecida como tratamento agudo de primeira linha para cefaleia em</w:t>
      </w:r>
      <w:r>
        <w:t xml:space="preserve"> </w:t>
      </w:r>
      <w:r>
        <w:t xml:space="preserve">salvas nas principais diretrizes: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European Academy of Neurology (EAN):</w:t>
      </w:r>
      <w:r>
        <w:t xml:space="preserve"> </w:t>
      </w:r>
      <w:r>
        <w:rPr>
          <w:i/>
          <w:iCs/>
        </w:rPr>
        <w:t xml:space="preserve">“The first option for the</w:t>
      </w:r>
      <w:r>
        <w:rPr>
          <w:i/>
          <w:iCs/>
        </w:rPr>
        <w:t xml:space="preserve"> </w:t>
      </w:r>
      <w:r>
        <w:rPr>
          <w:i/>
          <w:iCs/>
        </w:rPr>
        <w:t xml:space="preserve">treatment of acute attacks of cluster headache should be subcutaneous</w:t>
      </w:r>
      <w:r>
        <w:rPr>
          <w:i/>
          <w:iCs/>
        </w:rPr>
        <w:t xml:space="preserve"> </w:t>
      </w:r>
      <w:r>
        <w:rPr>
          <w:i/>
          <w:iCs/>
        </w:rPr>
        <w:t xml:space="preserve">injection of sumatriptan 6 mg or the inhalation of 100% oxygen with</w:t>
      </w:r>
      <w:r>
        <w:rPr>
          <w:i/>
          <w:iCs/>
        </w:rPr>
        <w:t xml:space="preserve"> </w:t>
      </w:r>
      <w:r>
        <w:rPr>
          <w:i/>
          <w:iCs/>
        </w:rPr>
        <w:t xml:space="preserve">at least 12 L/min over 15 min.”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American Headache Society (AHS).</w:t>
      </w:r>
      <w:r>
        <w:t xml:space="preserve"> </w:t>
      </w:r>
      <w:r>
        <w:t xml:space="preserve">Tratamento agudo de Nível A.</w:t>
      </w:r>
    </w:p>
    <w:p>
      <w:pPr>
        <w:pStyle w:val="Compact"/>
        <w:numPr>
          <w:ilvl w:val="0"/>
          <w:numId w:val="1001"/>
        </w:numPr>
      </w:pPr>
      <w:r>
        <w:t xml:space="preserve">[Acrescente a diretriz nacional local, se aplicável.]</w:t>
      </w:r>
    </w:p>
    <w:p>
      <w:pPr>
        <w:pStyle w:val="FirstParagraph"/>
      </w:pPr>
      <w:r>
        <w:t xml:space="preserve">A base de evidências inclui Cohen et al. (JAMA, 2009), ensaio</w:t>
      </w:r>
      <w:r>
        <w:t xml:space="preserve"> </w:t>
      </w:r>
      <w:r>
        <w:t xml:space="preserve">randomizado, duplo-cego e controlado por placebo que demonstrou</w:t>
      </w:r>
      <w:r>
        <w:t xml:space="preserve"> </w:t>
      </w:r>
      <w:r>
        <w:t xml:space="preserve">resposta livre de dor em 15 minutos em 78% dos ataques tratados com</w:t>
      </w:r>
      <w:r>
        <w:t xml:space="preserve"> </w:t>
      </w:r>
      <w:r>
        <w:t xml:space="preserve">oxigênio versus 20% com ar placebo; Medrea et al. (Journal of Headache</w:t>
      </w:r>
      <w:r>
        <w:t xml:space="preserve"> </w:t>
      </w:r>
      <w:r>
        <w:t xml:space="preserve">and Pain, 2022), uma meta-análise em rede de 13 ECRs em que o</w:t>
      </w:r>
      <w:r>
        <w:t xml:space="preserve"> </w:t>
      </w:r>
      <w:r>
        <w:t xml:space="preserve">oxigênio em alto fluxo foi classificado como o tratamento agudo mais</w:t>
      </w:r>
      <w:r>
        <w:t xml:space="preserve"> </w:t>
      </w:r>
      <w:r>
        <w:t xml:space="preserve">eficaz; e Robbins et al.,</w:t>
      </w:r>
      <w:r>
        <w:t xml:space="preserve"> </w:t>
      </w:r>
      <w:r>
        <w:rPr>
          <w:i/>
          <w:iCs/>
        </w:rPr>
        <w:t xml:space="preserve">Treatment of Cluster Headache: The American</w:t>
      </w:r>
      <w:r>
        <w:rPr>
          <w:i/>
          <w:iCs/>
        </w:rPr>
        <w:t xml:space="preserve"> </w:t>
      </w:r>
      <w:r>
        <w:rPr>
          <w:i/>
          <w:iCs/>
        </w:rPr>
        <w:t xml:space="preserve">Headache Society Evidence-Based Guidelines</w:t>
      </w:r>
      <w:r>
        <w:t xml:space="preserve"> </w:t>
      </w:r>
      <w:r>
        <w:t xml:space="preserve">(Headache,</w:t>
      </w:r>
      <w:r>
        <w:t xml:space="preserve"> </w:t>
      </w:r>
      <w:r>
        <w:t xml:space="preserve">2016;56:1093–1106), que classifica o oxigênio em alto fluxo como</w:t>
      </w:r>
      <w:r>
        <w:t xml:space="preserve"> </w:t>
      </w:r>
      <w:r>
        <w:t xml:space="preserve">tratamento agudo de Nível A.</w:t>
      </w:r>
    </w:p>
    <w:bookmarkEnd w:id="10"/>
    <w:bookmarkStart w:id="11" w:name="prescrição"/>
    <w:p>
      <w:pPr>
        <w:pStyle w:val="Heading3"/>
      </w:pPr>
      <w:r>
        <w:t xml:space="preserve">Prescrição</w:t>
      </w:r>
    </w:p>
    <w:p>
      <w:pPr>
        <w:pStyle w:val="Compact"/>
        <w:numPr>
          <w:ilvl w:val="0"/>
          <w:numId w:val="1002"/>
        </w:numPr>
      </w:pPr>
      <w:r>
        <w:t xml:space="preserve">Oxigênio 100% a 15 L/min por máscara não reinalante, até 20 minutos</w:t>
      </w:r>
      <w:r>
        <w:t xml:space="preserve"> </w:t>
      </w:r>
      <w:r>
        <w:t xml:space="preserve">por ataque, conforme necessário (PRN, com frequência determinada</w:t>
      </w:r>
      <w:r>
        <w:t xml:space="preserve"> </w:t>
      </w:r>
      <w:r>
        <w:t xml:space="preserve">pelo número de ataques por dia).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Um cilindro domiciliar grande e um cilindro portátil.</w:t>
      </w:r>
      <w:r>
        <w:t xml:space="preserve"> </w:t>
      </w:r>
      <w:r>
        <w:t xml:space="preserve">O paciente</w:t>
      </w:r>
      <w:r>
        <w:t xml:space="preserve"> </w:t>
      </w:r>
      <w:r>
        <w:t xml:space="preserve">necessita de ambos: o cilindro domiciliar para ataques noturnos e em</w:t>
      </w:r>
      <w:r>
        <w:t xml:space="preserve"> </w:t>
      </w:r>
      <w:r>
        <w:t xml:space="preserve">casa, e o cilindro portátil para ataques que ocorram no trabalho ou</w:t>
      </w:r>
      <w:r>
        <w:t xml:space="preserve"> </w:t>
      </w:r>
      <w:r>
        <w:t xml:space="preserve">fora de casa. Os ataques são imprevisíveis e não podem ser</w:t>
      </w:r>
      <w:r>
        <w:t xml:space="preserve"> </w:t>
      </w:r>
      <w:r>
        <w:t xml:space="preserve">postergados.</w:t>
      </w:r>
    </w:p>
    <w:p>
      <w:pPr>
        <w:pStyle w:val="Compact"/>
        <w:numPr>
          <w:ilvl w:val="0"/>
          <w:numId w:val="1002"/>
        </w:numPr>
      </w:pPr>
      <w:r>
        <w:t xml:space="preserve">Máscara não reinalante e tubulação.</w:t>
      </w:r>
    </w:p>
    <w:p>
      <w:pPr>
        <w:pStyle w:val="Compact"/>
        <w:numPr>
          <w:ilvl w:val="0"/>
          <w:numId w:val="1002"/>
        </w:numPr>
      </w:pPr>
      <w:r>
        <w:t xml:space="preserve">[Acrescente a especificação de válvula de demanda, se solicitada.]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Duração da necessidade:</w:t>
      </w:r>
      <w:r>
        <w:t xml:space="preserve"> </w:t>
      </w:r>
      <w:r>
        <w:t xml:space="preserve">12 meses, em caráter contínuo. A</w:t>
      </w:r>
      <w:r>
        <w:t xml:space="preserve"> </w:t>
      </w:r>
      <w:r>
        <w:t xml:space="preserve">cefaleia em salvas é uma condição vitalícia, com ciclos ativos</w:t>
      </w:r>
      <w:r>
        <w:t xml:space="preserve"> </w:t>
      </w:r>
      <w:r>
        <w:t xml:space="preserve">recorrentes por tempo indefinido.</w:t>
      </w:r>
    </w:p>
    <w:bookmarkEnd w:id="11"/>
    <w:bookmarkStart w:id="12" w:name="por-que-isto-é-medicamente-necessário"/>
    <w:p>
      <w:pPr>
        <w:pStyle w:val="Heading3"/>
      </w:pPr>
      <w:r>
        <w:t xml:space="preserve">Por que isto é medicamente necessário</w:t>
      </w:r>
    </w:p>
    <w:p>
      <w:pPr>
        <w:pStyle w:val="FirstParagraph"/>
      </w:pPr>
      <w:r>
        <w:t xml:space="preserve">Sem terapia abortiva eficaz, o paciente apresenta dor intensa e</w:t>
      </w:r>
      <w:r>
        <w:t xml:space="preserve"> </w:t>
      </w:r>
      <w:r>
        <w:t xml:space="preserve">incapacitante várias vezes ao dia, com impacto substancial sobre o</w:t>
      </w:r>
      <w:r>
        <w:t xml:space="preserve"> </w:t>
      </w:r>
      <w:r>
        <w:t xml:space="preserve">sono, a funcionalidade e a qualidade de vida. Os triptanos, o outro</w:t>
      </w:r>
      <w:r>
        <w:t xml:space="preserve"> </w:t>
      </w:r>
      <w:r>
        <w:t xml:space="preserve">abortivo de primeira linha reconhecido, não são adequados para este</w:t>
      </w:r>
      <w:r>
        <w:t xml:space="preserve"> </w:t>
      </w:r>
      <w:r>
        <w:t xml:space="preserve">paciente: [contraindicados por risco cardiovascular / doença cardíaca</w:t>
      </w:r>
      <w:r>
        <w:t xml:space="preserve"> </w:t>
      </w:r>
      <w:r>
        <w:t xml:space="preserve">isquêmica / hipertensão não controlada],</w:t>
      </w:r>
      <w:r>
        <w:t xml:space="preserve"> </w:t>
      </w:r>
      <w:r>
        <w:rPr>
          <w:i/>
          <w:iCs/>
        </w:rPr>
        <w:t xml:space="preserve">ou</w:t>
      </w:r>
      <w:r>
        <w:t xml:space="preserve"> </w:t>
      </w:r>
      <w:r>
        <w:t xml:space="preserve">[testados e ineficazes:</w:t>
      </w:r>
      <w:r>
        <w:t xml:space="preserve"> </w:t>
      </w:r>
      <w:r>
        <w:t xml:space="preserve">fármaco, dose, datas],</w:t>
      </w:r>
      <w:r>
        <w:t xml:space="preserve"> </w:t>
      </w:r>
      <w:r>
        <w:rPr>
          <w:i/>
          <w:iCs/>
        </w:rPr>
        <w:t xml:space="preserve">ou</w:t>
      </w:r>
      <w:r>
        <w:t xml:space="preserve"> </w:t>
      </w:r>
      <w:r>
        <w:t xml:space="preserve">[mal tolerados: efeitos adversos].</w:t>
      </w:r>
    </w:p>
    <w:p>
      <w:pPr>
        <w:pStyle w:val="BodyText"/>
      </w:pPr>
      <w:r>
        <w:t xml:space="preserve">O oxigênio não tem efeitos colaterais sistêmicos, não tem interações</w:t>
      </w:r>
      <w:r>
        <w:t xml:space="preserve"> </w:t>
      </w:r>
      <w:r>
        <w:t xml:space="preserve">medicamentosas e não apresenta contraindicação com base no histórico</w:t>
      </w:r>
      <w:r>
        <w:t xml:space="preserve"> </w:t>
      </w:r>
      <w:r>
        <w:t xml:space="preserve">deste paciente. É a opção abortiva mais segura disponível para este</w:t>
      </w:r>
      <w:r>
        <w:t xml:space="preserve"> </w:t>
      </w:r>
      <w:r>
        <w:t xml:space="preserve">paciente.</w:t>
      </w:r>
    </w:p>
    <w:p>
      <w:pPr>
        <w:pStyle w:val="BodyText"/>
      </w:pPr>
      <w:r>
        <w:t xml:space="preserve">Atesto que a oxigenoterapia domiciliar em alto fluxo é medicamente</w:t>
      </w:r>
      <w:r>
        <w:t xml:space="preserve"> </w:t>
      </w:r>
      <w:r>
        <w:t xml:space="preserve">necessária para [Nome do paciente].</w:t>
      </w:r>
    </w:p>
    <w:p>
      <w:pPr>
        <w:pStyle w:val="BodyText"/>
      </w:pPr>
      <w:r>
        <w:t xml:space="preserve">Atenciosamente,</w:t>
      </w:r>
    </w:p>
    <w:p>
      <w:pPr>
        <w:pStyle w:val="BodyText"/>
      </w:pPr>
      <w:r>
        <w:rPr>
          <w:b/>
          <w:bCs/>
        </w:rPr>
        <w:t xml:space="preserve">[Nome do prescritor]</w:t>
      </w:r>
      <w:r>
        <w:t xml:space="preserve"> </w:t>
      </w:r>
      <w:r>
        <w:rPr>
          <w:b/>
          <w:bCs/>
        </w:rPr>
        <w:t xml:space="preserve">[Título / especialidade]</w:t>
      </w:r>
      <w:r>
        <w:t xml:space="preserve"> </w:t>
      </w:r>
      <w:r>
        <w:rPr>
          <w:b/>
          <w:bCs/>
        </w:rPr>
        <w:t xml:space="preserve">[Número de registro / inscrição profissional]</w:t>
      </w:r>
      <w:r>
        <w:t xml:space="preserve"> </w:t>
      </w:r>
      <w:r>
        <w:rPr>
          <w:b/>
          <w:bCs/>
        </w:rPr>
        <w:t xml:space="preserve">[Assinatura]</w:t>
      </w:r>
      <w:r>
        <w:t xml:space="preserve"> </w:t>
      </w:r>
      <w:r>
        <w:rPr>
          <w:b/>
          <w:bCs/>
        </w:rPr>
        <w:t xml:space="preserve">[Data]</w:t>
      </w:r>
    </w:p>
    <w:bookmarkEnd w:id="12"/>
    <w:bookmarkEnd w:id="13"/>
    <w:bookmarkEnd w:id="14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de necessidade médica: modelo para o médico prescritor</dc:title>
  <dc:creator/>
  <cp:keywords/>
  <dcterms:created xsi:type="dcterms:W3CDTF">2026-05-27T10:35:15Z</dcterms:created>
  <dcterms:modified xsi:type="dcterms:W3CDTF">2026-05-27T10:35:15Z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