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Evidências sobre oxigênio em alto fluxo para cefaleia em salvas</w:t>
      </w:r>
    </w:p>
    <w:bookmarkStart w:id="17" w:name="Xeb74793d04605b493635c229a3acb6d1da58cb2"/>
    <w:p>
      <w:pPr>
        <w:pStyle w:val="Heading1"/>
      </w:pPr>
      <w:r>
        <w:t xml:space="preserve">Evidências sobre oxigênio em alto fluxo para cefaleia em salvas</w:t>
      </w:r>
    </w:p>
    <w:p>
      <w:pPr>
        <w:pStyle w:val="FirstParagraph"/>
      </w:pPr>
      <w:r>
        <w:t xml:space="preserve">Um breve resumo dos estudos mais citados em apoio ao oxigênio em alto</w:t>
      </w:r>
      <w:r>
        <w:t xml:space="preserve"> </w:t>
      </w:r>
      <w:r>
        <w:t xml:space="preserve">fluxo como tratamento agudo de primeira linha para cefaleia em salvas.</w:t>
      </w:r>
      <w:r>
        <w:t xml:space="preserve"> </w:t>
      </w:r>
      <w:r>
        <w:t xml:space="preserve">Cada entrada inclui a citação, o achado principal e um link para o</w:t>
      </w:r>
      <w:r>
        <w:t xml:space="preserve"> </w:t>
      </w:r>
      <w:r>
        <w:t xml:space="preserve">artigo. Quando o artigo é de acesso aberto, o texto completo está</w:t>
      </w:r>
      <w:r>
        <w:t xml:space="preserve"> </w:t>
      </w:r>
      <w:r>
        <w:t xml:space="preserve">incluído na subpasta</w:t>
      </w:r>
      <w:r>
        <w:t xml:space="preserve"> </w:t>
      </w:r>
      <w:r>
        <w:rPr>
          <w:rStyle w:val="VerbatimChar"/>
        </w:rPr>
        <w:t xml:space="preserve">artigos-completos/</w:t>
      </w:r>
      <w:r>
        <w:t xml:space="preserve">.</w:t>
      </w:r>
    </w:p>
    <w:p>
      <w:pPr>
        <w:pStyle w:val="BodyText"/>
      </w:pPr>
      <w:r>
        <w:t xml:space="preserve">Este é um documento de referência; os artigos originais completos</w:t>
      </w:r>
      <w:r>
        <w:t xml:space="preserve"> </w:t>
      </w:r>
      <w:r>
        <w:t xml:space="preserve">prevalecem sobre os resumos aqui apresentados.</w:t>
      </w:r>
    </w:p>
    <w:p>
      <w:r>
        <w:pict>
          <v:rect style="width:0;height:1.5pt" o:hralign="center" o:hrstd="t" o:hr="t"/>
        </w:pict>
      </w:r>
    </w:p>
    <w:bookmarkStart w:id="11" w:name="eficácia"/>
    <w:p>
      <w:pPr>
        <w:pStyle w:val="Heading2"/>
      </w:pPr>
      <w:r>
        <w:t xml:space="preserve">Eficácia</w:t>
      </w:r>
    </w:p>
    <w:p>
      <w:pPr>
        <w:pStyle w:val="FirstParagraph"/>
      </w:pPr>
      <w:r>
        <w:rPr>
          <w:b/>
          <w:bCs/>
        </w:rPr>
        <w:t xml:space="preserve">Cohen et al., 2009.</w:t>
      </w:r>
      <w:r>
        <w:t xml:space="preserve"> </w:t>
      </w:r>
      <w:r>
        <w:t xml:space="preserve">Ensaio randomizado, duplo-cego, controlado por</w:t>
      </w:r>
      <w:r>
        <w:t xml:space="preserve"> </w:t>
      </w:r>
      <w:r>
        <w:t xml:space="preserve">placebo, com desenho cruzado. Comparou-se oxigênio inalado em alto fluxo</w:t>
      </w:r>
      <w:r>
        <w:t xml:space="preserve"> </w:t>
      </w:r>
      <w:r>
        <w:t xml:space="preserve">(100% a 12 L/min via máscara não reinalante por 15 minutos) com ar</w:t>
      </w:r>
      <w:r>
        <w:t xml:space="preserve"> </w:t>
      </w:r>
      <w:r>
        <w:t xml:space="preserve">medicinal em alto fluxo. Ausência de dor aos 15 minutos em 78% dos</w:t>
      </w:r>
      <w:r>
        <w:t xml:space="preserve"> </w:t>
      </w:r>
      <w:r>
        <w:t xml:space="preserve">ataques tratados com oxigênio versus 20% com ar. JAMA, 2009.</w:t>
      </w:r>
      <w:r>
        <w:t xml:space="preserve"> </w:t>
      </w:r>
      <w:hyperlink r:id="rId9">
        <w:r>
          <w:rPr>
            <w:rStyle w:val="Hyperlink"/>
          </w:rPr>
          <w:t xml:space="preserve">https://jamanetwork.com/journals/jama/fullarticle/185035</w:t>
        </w:r>
      </w:hyperlink>
    </w:p>
    <w:p>
      <w:pPr>
        <w:pStyle w:val="BodyText"/>
      </w:pPr>
      <w:r>
        <w:rPr>
          <w:b/>
          <w:bCs/>
        </w:rPr>
        <w:t xml:space="preserve">Medrea et al., 2022.</w:t>
      </w:r>
      <w:r>
        <w:t xml:space="preserve"> </w:t>
      </w:r>
      <w:r>
        <w:t xml:space="preserve">Meta-análise em rede de 13 ensaios randomizados</w:t>
      </w:r>
      <w:r>
        <w:t xml:space="preserve"> </w:t>
      </w:r>
      <w:r>
        <w:t xml:space="preserve">de tratamentos agudos para cefaleia em salvas. O oxigênio em alto fluxo</w:t>
      </w:r>
      <w:r>
        <w:t xml:space="preserve"> </w:t>
      </w:r>
      <w:r>
        <w:t xml:space="preserve">foi classificado como o tratamento agudo mais eficaz para resposta da</w:t>
      </w:r>
      <w:r>
        <w:t xml:space="preserve"> </w:t>
      </w:r>
      <w:r>
        <w:t xml:space="preserve">cefaleia aos 15 e 30 minutos (OR 9,0 vs placebo, IC cred. de 95%</w:t>
      </w:r>
      <w:r>
        <w:t xml:space="preserve"> </w:t>
      </w:r>
      <w:r>
        <w:t xml:space="preserve">5,3–15,9), mais eficaz do que o oxigênio em baixo fluxo (OR 2,55, IC</w:t>
      </w:r>
      <w:r>
        <w:t xml:space="preserve"> </w:t>
      </w:r>
      <w:r>
        <w:t xml:space="preserve">cred. de 95% 1,13–5,8) e sem o sinal aumentado de eventos adversos</w:t>
      </w:r>
      <w:r>
        <w:t xml:space="preserve"> </w:t>
      </w:r>
      <w:r>
        <w:t xml:space="preserve">observado com sumatriptan injetável e octreotida. A revisão conclui:</w:t>
      </w:r>
      <w:r>
        <w:t xml:space="preserve"> </w:t>
      </w:r>
      <w:r>
        <w:rPr>
          <w:i/>
          <w:iCs/>
        </w:rPr>
        <w:t xml:space="preserve">“quando o oxigênio em baixo fluxo falha em pacientes que toleram o</w:t>
      </w:r>
      <w:r>
        <w:rPr>
          <w:i/>
          <w:iCs/>
        </w:rPr>
        <w:t xml:space="preserve"> </w:t>
      </w:r>
      <w:r>
        <w:rPr>
          <w:i/>
          <w:iCs/>
        </w:rPr>
        <w:t xml:space="preserve">oxigênio, taxas de fluxo aumentadas devem ser tentadas.”</w:t>
      </w:r>
      <w:r>
        <w:t xml:space="preserve"> </w:t>
      </w:r>
      <w:r>
        <w:t xml:space="preserve">The Journal of Headache and Pain, 2022.</w:t>
      </w:r>
      <w:r>
        <w:t xml:space="preserve"> </w:t>
      </w:r>
      <w:hyperlink r:id="rId10">
        <w:r>
          <w:rPr>
            <w:rStyle w:val="Hyperlink"/>
          </w:rPr>
          <w:t xml:space="preserve">https://thejournalofheadacheandpain.biomedcentral.com/articles/10.1186/s10194-022-01403-1</w:t>
        </w:r>
      </w:hyperlink>
    </w:p>
    <w:bookmarkEnd w:id="11"/>
    <w:bookmarkStart w:id="14" w:name="oxigênio-com-válvula-de-demanda-dvo"/>
    <w:p>
      <w:pPr>
        <w:pStyle w:val="Heading2"/>
      </w:pPr>
      <w:r>
        <w:t xml:space="preserve">Oxigênio com válvula de demanda (DVO)</w:t>
      </w:r>
    </w:p>
    <w:p>
      <w:pPr>
        <w:pStyle w:val="FirstParagraph"/>
      </w:pPr>
      <w:r>
        <w:rPr>
          <w:b/>
          <w:bCs/>
        </w:rPr>
        <w:t xml:space="preserve">Rozen &amp; Fishman, 2013.</w:t>
      </w:r>
      <w:r>
        <w:t xml:space="preserve"> </w:t>
      </w:r>
      <w:r>
        <w:t xml:space="preserve">Pequeno estudo piloto aberto em cefaleia em</w:t>
      </w:r>
      <w:r>
        <w:t xml:space="preserve"> </w:t>
      </w:r>
      <w:r>
        <w:t xml:space="preserve">salvas crônica, n = 4. Todos os quatro participantes tratados com DVO</w:t>
      </w:r>
      <w:r>
        <w:t xml:space="preserve"> </w:t>
      </w:r>
      <w:r>
        <w:t xml:space="preserve">ficaram sem dor em 6–19 minutos (média de 12 minutos); nenhum evento</w:t>
      </w:r>
      <w:r>
        <w:t xml:space="preserve"> </w:t>
      </w:r>
      <w:r>
        <w:t xml:space="preserve">adverso relatado. O protocolo combina DVO com uma técnica inicial de</w:t>
      </w:r>
      <w:r>
        <w:t xml:space="preserve"> </w:t>
      </w:r>
      <w:r>
        <w:t xml:space="preserve">respiração por hiperventilação. Ressalva: muito pequeno, aberto.</w:t>
      </w:r>
      <w:r>
        <w:t xml:space="preserve"> </w:t>
      </w:r>
      <w:r>
        <w:t xml:space="preserve">Pain Medicine, 2013.</w:t>
      </w:r>
      <w:r>
        <w:t xml:space="preserve"> </w:t>
      </w:r>
      <w:hyperlink r:id="rId12">
        <w:r>
          <w:rPr>
            <w:rStyle w:val="Hyperlink"/>
          </w:rPr>
          <w:t xml:space="preserve">https://doi.org/10.1111/pme.12055</w:t>
        </w:r>
      </w:hyperlink>
    </w:p>
    <w:p>
      <w:pPr>
        <w:pStyle w:val="BodyText"/>
      </w:pPr>
      <w:r>
        <w:rPr>
          <w:b/>
          <w:bCs/>
        </w:rPr>
        <w:t xml:space="preserve">Goadsby et al., 2025.</w:t>
      </w:r>
      <w:r>
        <w:t xml:space="preserve"> </w:t>
      </w:r>
      <w:r>
        <w:t xml:space="preserve">Pesquisa sobre a experiência dos pacientes.</w:t>
      </w:r>
      <w:r>
        <w:t xml:space="preserve"> </w:t>
      </w:r>
      <w:r>
        <w:t xml:space="preserve">Tempo médio até aborto completo: 11 minutos com DVO vs 36 minutos com</w:t>
      </w:r>
      <w:r>
        <w:t xml:space="preserve"> </w:t>
      </w:r>
      <w:r>
        <w:t xml:space="preserve">oxigênio em alto fluxo padrão. Aborto completo em 89% dos ataques com</w:t>
      </w:r>
      <w:r>
        <w:t xml:space="preserve"> </w:t>
      </w:r>
      <w:r>
        <w:t xml:space="preserve">DVO vs 70% com oxigênio em alto fluxo padrão. Não cegado nem</w:t>
      </w:r>
      <w:r>
        <w:t xml:space="preserve"> </w:t>
      </w:r>
      <w:r>
        <w:t xml:space="preserve">randomizado, mas com tamanho de efeito grande. Cephalalgia, 2025.</w:t>
      </w:r>
      <w:r>
        <w:t xml:space="preserve"> </w:t>
      </w:r>
      <w:hyperlink r:id="rId13">
        <w:r>
          <w:rPr>
            <w:rStyle w:val="Hyperlink"/>
          </w:rPr>
          <w:t xml:space="preserve">https://journals.sagepub.com/doi/10.1177/25158163251339439</w:t>
        </w:r>
      </w:hyperlink>
    </w:p>
    <w:bookmarkEnd w:id="14"/>
    <w:bookmarkStart w:id="16" w:name="segurança"/>
    <w:p>
      <w:pPr>
        <w:pStyle w:val="Heading2"/>
      </w:pPr>
      <w:r>
        <w:t xml:space="preserve">Segurança</w:t>
      </w:r>
    </w:p>
    <w:p>
      <w:pPr>
        <w:pStyle w:val="FirstParagraph"/>
      </w:pPr>
      <w:r>
        <w:rPr>
          <w:b/>
          <w:bCs/>
        </w:rPr>
        <w:t xml:space="preserve">Mo et al., 2022.</w:t>
      </w:r>
      <w:r>
        <w:t xml:space="preserve"> </w:t>
      </w:r>
      <w:r>
        <w:t xml:space="preserve">Revisão sobre a segurança da oxigenoterapia em</w:t>
      </w:r>
      <w:r>
        <w:t xml:space="preserve"> </w:t>
      </w:r>
      <w:r>
        <w:t xml:space="preserve">distúrbios de cefaleia. As sessões de oxigênio para cefaleia são curtas</w:t>
      </w:r>
      <w:r>
        <w:t xml:space="preserve"> </w:t>
      </w:r>
      <w:r>
        <w:t xml:space="preserve">(15–60 minutos) e apresentam pouco risco de toxicidade pelo oxigênio em</w:t>
      </w:r>
      <w:r>
        <w:t xml:space="preserve"> </w:t>
      </w:r>
      <w:r>
        <w:t xml:space="preserve">uso inferior a uma hora. As principais preocupações práticas são a</w:t>
      </w:r>
      <w:r>
        <w:t xml:space="preserve"> </w:t>
      </w:r>
      <w:r>
        <w:t xml:space="preserve">segurança contra incêndio (especialmente em torno de tabagismo e chamas</w:t>
      </w:r>
      <w:r>
        <w:t xml:space="preserve"> </w:t>
      </w:r>
      <w:r>
        <w:t xml:space="preserve">abertas) e o manuseio de cilindros, e não dano fisiológico.</w:t>
      </w:r>
      <w:r>
        <w:t xml:space="preserve"> </w:t>
      </w:r>
      <w:r>
        <w:t xml:space="preserve">Current Pain and Headache Reports, 2022.</w:t>
      </w:r>
      <w:r>
        <w:t xml:space="preserve"> </w:t>
      </w:r>
      <w:hyperlink r:id="rId15">
        <w:r>
          <w:rPr>
            <w:rStyle w:val="Hyperlink"/>
          </w:rPr>
          <w:t xml:space="preserve">https://link.springer.com/article/10.1007/s11916-022-01066-2</w:t>
        </w:r>
      </w:hyperlink>
    </w:p>
    <w:p>
      <w:pPr>
        <w:pStyle w:val="BodyText"/>
      </w:pPr>
      <w:r>
        <w:rPr>
          <w:b/>
          <w:bCs/>
        </w:rPr>
        <w:t xml:space="preserve">Goadsby et al., 2025.</w:t>
      </w:r>
      <w:r>
        <w:t xml:space="preserve"> </w:t>
      </w:r>
      <w:r>
        <w:t xml:space="preserve">Observações sobre risco de incêndio.</w:t>
      </w:r>
      <w:r>
        <w:t xml:space="preserve"> </w:t>
      </w:r>
      <w:r>
        <w:t xml:space="preserve">A DVO pode reduzir o desperdício e o vazamento de oxigênio porque o</w:t>
      </w:r>
      <w:r>
        <w:t xml:space="preserve"> </w:t>
      </w:r>
      <w:r>
        <w:t xml:space="preserve">fluxo ocorre apenas durante a inalação, o que plausivelmente reduz o</w:t>
      </w:r>
      <w:r>
        <w:t xml:space="preserve"> </w:t>
      </w:r>
      <w:r>
        <w:t xml:space="preserve">enriquecimento de oxigênio no ar ambiente e o risco de incêndio em</w:t>
      </w:r>
      <w:r>
        <w:t xml:space="preserve"> </w:t>
      </w:r>
      <w:r>
        <w:t xml:space="preserve">comparação com fluxo contínuo.</w:t>
      </w:r>
    </w:p>
    <w:bookmarkEnd w:id="16"/>
    <w:bookmarkEnd w:id="17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Relationship Type="http://schemas.openxmlformats.org/officeDocument/2006/relationships/hyperlink" Id="rId12" Target="https://doi.org/10.1111/pme.12055" TargetMode="External" /><Relationship Type="http://schemas.openxmlformats.org/officeDocument/2006/relationships/hyperlink" Id="rId9" Target="https://jamanetwork.com/journals/jama/fullarticle/185035" TargetMode="External" /><Relationship Type="http://schemas.openxmlformats.org/officeDocument/2006/relationships/hyperlink" Id="rId13" Target="https://journals.sagepub.com/doi/10.1177/25158163251339439" TargetMode="External" /><Relationship Type="http://schemas.openxmlformats.org/officeDocument/2006/relationships/hyperlink" Id="rId15" Target="https://link.springer.com/article/10.1007/s11916-022-01066-2" TargetMode="External" /><Relationship Type="http://schemas.openxmlformats.org/officeDocument/2006/relationships/hyperlink" Id="rId10" Target="https://thejournalofheadacheandpain.biomedcentral.com/articles/10.1186/s10194-022-01403-1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2" Target="https://doi.org/10.1111/pme.12055" TargetMode="External" /><Relationship Type="http://schemas.openxmlformats.org/officeDocument/2006/relationships/hyperlink" Id="rId9" Target="https://jamanetwork.com/journals/jama/fullarticle/185035" TargetMode="External" /><Relationship Type="http://schemas.openxmlformats.org/officeDocument/2006/relationships/hyperlink" Id="rId13" Target="https://journals.sagepub.com/doi/10.1177/25158163251339439" TargetMode="External" /><Relationship Type="http://schemas.openxmlformats.org/officeDocument/2006/relationships/hyperlink" Id="rId15" Target="https://link.springer.com/article/10.1007/s11916-022-01066-2" TargetMode="External" /><Relationship Type="http://schemas.openxmlformats.org/officeDocument/2006/relationships/hyperlink" Id="rId10" Target="https://thejournalofheadacheandpain.biomedcentral.com/articles/10.1186/s10194-022-01403-1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Evidências sobre oxigênio em alto fluxo para cefaleia em salvas</dc:title>
  <dc:creator/>
  <cp:keywords/>
  <dcterms:created xsi:type="dcterms:W3CDTF">2026-05-27T10:35:14Z</dcterms:created>
  <dcterms:modified xsi:type="dcterms:W3CDTF">2026-05-27T10:35:14Z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