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Full-text articles</w:t>
      </w:r>
    </w:p>
    <w:bookmarkStart w:id="9" w:name="full-text-articles"/>
    <w:p>
      <w:pPr>
        <w:pStyle w:val="Heading1"/>
      </w:pPr>
      <w:r>
        <w:t xml:space="preserve">Full-text articles</w:t>
      </w:r>
    </w:p>
    <w:p>
      <w:pPr>
        <w:pStyle w:val="FirstParagraph"/>
      </w:pPr>
      <w:r>
        <w:t xml:space="preserve">This folder collects the full-text PDFs of the studies summarised in</w:t>
      </w:r>
      <w:r>
        <w:t xml:space="preserve"> </w:t>
      </w:r>
      <w:r>
        <w:rPr>
          <w:rStyle w:val="VerbatimChar"/>
        </w:rPr>
        <w:t xml:space="preserve">04-evidence.docx</w:t>
      </w:r>
      <w:r>
        <w:t xml:space="preserve">. Refer to the original articles for the definitive</w:t>
      </w:r>
      <w:r>
        <w:t xml:space="preserve"> </w:t>
      </w:r>
      <w:r>
        <w:t xml:space="preserve">findings; the summaries in</w:t>
      </w:r>
      <w:r>
        <w:t xml:space="preserve"> </w:t>
      </w:r>
      <w:r>
        <w:rPr>
          <w:rStyle w:val="VerbatimChar"/>
        </w:rPr>
        <w:t xml:space="preserve">04-evidence.docx</w:t>
      </w:r>
      <w:r>
        <w:t xml:space="preserve"> </w:t>
      </w:r>
      <w:r>
        <w:t xml:space="preserve">are abridged.</w:t>
      </w:r>
    </w:p>
    <w:p>
      <w:pPr>
        <w:pStyle w:val="BodyText"/>
      </w:pPr>
      <w:r>
        <w:t xml:space="preserve">Included: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cohen2009.pdf</w:t>
      </w:r>
      <w:r>
        <w:t xml:space="preserve"> </w:t>
      </w:r>
      <w:r>
        <w:t xml:space="preserve">— Cohen et al., 2009 (JAMA). High-flow oxygen RCT.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medrea2022.pdf</w:t>
      </w:r>
      <w:r>
        <w:t xml:space="preserve"> </w:t>
      </w:r>
      <w:r>
        <w:t xml:space="preserve">— Medrea et al., 2022 (Headache).</w:t>
      </w:r>
      <w:r>
        <w:t xml:space="preserve"> </w:t>
      </w:r>
      <w:r>
        <w:t xml:space="preserve">Network meta-analysis of acute cluster headache treatments.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mo2022.pdf</w:t>
      </w:r>
      <w:r>
        <w:t xml:space="preserve"> </w:t>
      </w:r>
      <w:r>
        <w:t xml:space="preserve">— Mo et al., 2022 (J Clin Neurol).</w:t>
      </w:r>
      <w:r>
        <w:t xml:space="preserve"> </w:t>
      </w:r>
      <w:r>
        <w:t xml:space="preserve">Oxygen therapy review in cluster headache, migraine, and other headache disorders.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rozen2013.pdf</w:t>
      </w:r>
      <w:r>
        <w:t xml:space="preserve"> </w:t>
      </w:r>
      <w:r>
        <w:t xml:space="preserve">— Rozen &amp; Fishman, 2013 (Pain Medicine).</w:t>
      </w:r>
      <w:r>
        <w:t xml:space="preserve"> </w:t>
      </w:r>
      <w:r>
        <w:t xml:space="preserve">Demand valve oxygen pilot study.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goadsby2025.pdf</w:t>
      </w:r>
      <w:r>
        <w:t xml:space="preserve"> </w:t>
      </w:r>
      <w:r>
        <w:t xml:space="preserve">— Goadsby et al., 2025 (Cephalalgia Reports).</w:t>
      </w:r>
      <w:r>
        <w:t xml:space="preserve"> </w:t>
      </w:r>
      <w:r>
        <w:t xml:space="preserve">DVO vs standard high-flow patient-experience survey.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tepper2017.pdf</w:t>
      </w:r>
      <w:r>
        <w:t xml:space="preserve"> </w:t>
      </w:r>
      <w:r>
        <w:t xml:space="preserve">— Tepper et al., 2017 (Headache).</w:t>
      </w:r>
      <w:r>
        <w:t xml:space="preserve"> </w:t>
      </w:r>
      <w:r>
        <w:t xml:space="preserve">Practical prescribing guide.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Full-text articles</dc:title>
  <dc:creator/>
  <cp:keywords/>
  <dcterms:created xsi:type="dcterms:W3CDTF">2026-05-19T11:51:11Z</dcterms:created>
  <dcterms:modified xsi:type="dcterms:W3CDTF">2026-05-19T11:51:11Z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