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Medicare Standard Written Order (SWO) example: home oxygen</w:t>
      </w:r>
    </w:p>
    <w:bookmarkStart w:id="13" w:name="X2a14ce459c169fefe692c60c3661bb15c553515"/>
    <w:p>
      <w:pPr>
        <w:pStyle w:val="Heading1"/>
      </w:pPr>
      <w:r>
        <w:t xml:space="preserve">Medicare Standard Written Order (SWO) example</w:t>
      </w:r>
    </w:p>
    <w:p>
      <w:pPr>
        <w:pStyle w:val="FirstParagraph"/>
      </w:pPr>
      <w:r>
        <w:t xml:space="preserve">The Centers for Medicare &amp; Medicaid Services (CMS) requires a Standard</w:t>
      </w:r>
      <w:r>
        <w:t xml:space="preserve"> </w:t>
      </w:r>
      <w:r>
        <w:t xml:space="preserve">Written Order (SWO) for durable medical equipment (DME) including home</w:t>
      </w:r>
      <w:r>
        <w:t xml:space="preserve"> </w:t>
      </w:r>
      <w:r>
        <w:t xml:space="preserve">oxygen. This is an example, not a binding form. The SWO must be</w:t>
      </w:r>
      <w:r>
        <w:t xml:space="preserve"> </w:t>
      </w:r>
      <w:r>
        <w:t xml:space="preserve">generated by the prescribing clinician.</w:t>
      </w:r>
    </w:p>
    <w:p>
      <w:pPr>
        <w:pStyle w:val="BodyText"/>
      </w:pPr>
      <w:r>
        <w:t xml:space="preserve">The current CMS requirements for an SWO are summarized in</w:t>
      </w:r>
      <w:r>
        <w:t xml:space="preserve"> </w:t>
      </w:r>
      <w:hyperlink r:id="rId9">
        <w:r>
          <w:rPr>
            <w:rStyle w:val="Hyperlink"/>
          </w:rPr>
          <w:t xml:space="preserve">Policy Article A52514</w:t>
        </w:r>
      </w:hyperlink>
      <w:r>
        <w:t xml:space="preserve">.</w:t>
      </w:r>
    </w:p>
    <w:p>
      <w:r>
        <w:pict>
          <v:rect style="width:0;height:1.5pt" o:hralign="center" o:hrstd="t" o:hr="t"/>
        </w:pict>
      </w:r>
    </w:p>
    <w:bookmarkStart w:id="10" w:name="standard-written-order"/>
    <w:p>
      <w:pPr>
        <w:pStyle w:val="Heading2"/>
      </w:pPr>
      <w:r>
        <w:t xml:space="preserve">Standard Written Order</w:t>
      </w:r>
    </w:p>
    <w:p>
      <w:pPr>
        <w:pStyle w:val="FirstParagraph"/>
      </w:pPr>
      <w:r>
        <w:rPr>
          <w:b/>
          <w:bCs/>
        </w:rPr>
        <w:t xml:space="preserve">Patient name:</w:t>
      </w:r>
      <w:r>
        <w:t xml:space="preserve"> </w:t>
      </w:r>
      <w:r>
        <w:t xml:space="preserve">[Full legal name]</w:t>
      </w:r>
    </w:p>
    <w:p>
      <w:pPr>
        <w:pStyle w:val="BodyText"/>
      </w:pPr>
      <w:r>
        <w:rPr>
          <w:b/>
          <w:bCs/>
        </w:rPr>
        <w:t xml:space="preserve">Date of birth:</w:t>
      </w:r>
      <w:r>
        <w:t xml:space="preserve"> </w:t>
      </w:r>
      <w:r>
        <w:t xml:space="preserve">[DOB]</w:t>
      </w:r>
    </w:p>
    <w:p>
      <w:pPr>
        <w:pStyle w:val="BodyText"/>
      </w:pPr>
      <w:r>
        <w:rPr>
          <w:b/>
          <w:bCs/>
        </w:rPr>
        <w:t xml:space="preserve">Order 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Diagnosis (ICD-10-CM):</w:t>
      </w:r>
      <w:r>
        <w:t xml:space="preserve"> </w:t>
      </w:r>
      <w:r>
        <w:t xml:space="preserve">G44.0[__] (see</w:t>
      </w:r>
      <w:r>
        <w:t xml:space="preserve"> </w:t>
      </w:r>
      <w:r>
        <w:rPr>
          <w:rStyle w:val="VerbatimChar"/>
        </w:rPr>
        <w:t xml:space="preserve">06-icd10-reference.docx</w:t>
      </w:r>
      <w:r>
        <w:t xml:space="preserve">)</w:t>
      </w:r>
    </w:p>
    <w:p>
      <w:pPr>
        <w:pStyle w:val="BodyText"/>
      </w:pPr>
      <w:r>
        <w:rPr>
          <w:b/>
          <w:bCs/>
        </w:rPr>
        <w:t xml:space="preserve">Items ordered: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12"/>
        <w:gridCol w:w="580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Home oxygen system</w:t>
            </w:r>
          </w:p>
        </w:tc>
        <w:tc>
          <w:tcPr/>
          <w:p>
            <w:pPr>
              <w:pStyle w:val="Compact"/>
            </w:pPr>
            <w:r>
              <w:t xml:space="preserve">Stationary high-pressure cylinder, large size (M or H)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Portable oxygen system</w:t>
            </w:r>
          </w:p>
        </w:tc>
        <w:tc>
          <w:tcPr/>
          <w:p>
            <w:pPr>
              <w:pStyle w:val="Compact"/>
            </w:pPr>
            <w:r>
              <w:t xml:space="preserve">Small high-pressure cylinder (E size)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Regulator</w:t>
            </w:r>
          </w:p>
        </w:tc>
        <w:tc>
          <w:tcPr/>
          <w:p>
            <w:pPr>
              <w:pStyle w:val="Compact"/>
            </w:pPr>
            <w:r>
              <w:t xml:space="preserve">Capable of delivering up to 15 L/min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Mask</w:t>
            </w:r>
          </w:p>
        </w:tc>
        <w:tc>
          <w:tcPr/>
          <w:p>
            <w:pPr>
              <w:pStyle w:val="Compact"/>
            </w:pPr>
            <w:r>
              <w:t xml:space="preserve">Non-rebreather mask with reservoir</w:t>
            </w:r>
          </w:p>
        </w:tc>
      </w:tr>
      <w:tr>
        <w:tc>
          <w:tcPr/>
          <w:p>
            <w:pPr>
              <w:pStyle w:val="Compact"/>
            </w:pPr>
            <w:r>
              <w:t xml:space="preserve">Tubing</w:t>
            </w:r>
          </w:p>
        </w:tc>
        <w:tc>
          <w:tcPr/>
          <w:p>
            <w:pPr>
              <w:pStyle w:val="Compact"/>
            </w:pPr>
            <w:r>
              <w:t xml:space="preserve">Standard supply tubing</w:t>
            </w:r>
          </w:p>
        </w:tc>
      </w:tr>
    </w:tbl>
    <w:p>
      <w:pPr>
        <w:pStyle w:val="BodyText"/>
      </w:pPr>
      <w:r>
        <w:rPr>
          <w:b/>
          <w:bCs/>
        </w:rPr>
        <w:t xml:space="preserve">Use instructions:</w:t>
      </w:r>
      <w:r>
        <w:t xml:space="preserve"> </w:t>
      </w:r>
      <w:r>
        <w:t xml:space="preserve">100% oxygen at 15 liters per minute via</w:t>
      </w:r>
      <w:r>
        <w:t xml:space="preserve"> </w:t>
      </w:r>
      <w:r>
        <w:t xml:space="preserve">non-rebreather mask, up to 20 minutes per attack of cluster</w:t>
      </w:r>
      <w:r>
        <w:t xml:space="preserve"> </w:t>
      </w:r>
      <w:r>
        <w:t xml:space="preserve">headache, as needed.</w:t>
      </w:r>
    </w:p>
    <w:p>
      <w:pPr>
        <w:pStyle w:val="BodyText"/>
      </w:pPr>
      <w:r>
        <w:rPr>
          <w:b/>
          <w:bCs/>
        </w:rPr>
        <w:t xml:space="preserve">Length of need:</w:t>
      </w:r>
      <w:r>
        <w:t xml:space="preserve"> </w:t>
      </w:r>
      <w:r>
        <w:t xml:space="preserve">[99 months / lifetime / other]</w:t>
      </w:r>
    </w:p>
    <w:p>
      <w:pPr>
        <w:pStyle w:val="BodyText"/>
      </w:pPr>
      <w:r>
        <w:rPr>
          <w:b/>
          <w:bCs/>
        </w:rPr>
        <w:t xml:space="preserve">Refills:</w:t>
      </w:r>
      <w:r>
        <w:t xml:space="preserve"> </w:t>
      </w:r>
      <w:r>
        <w:t xml:space="preserve">[As needed]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Prescribing practitioner:</w:t>
      </w:r>
    </w:p>
    <w:p>
      <w:pPr>
        <w:pStyle w:val="Compact"/>
        <w:numPr>
          <w:ilvl w:val="0"/>
          <w:numId w:val="1001"/>
        </w:numPr>
      </w:pPr>
      <w:r>
        <w:t xml:space="preserve">Name: [Practitioner full name]</w:t>
      </w:r>
    </w:p>
    <w:p>
      <w:pPr>
        <w:pStyle w:val="Compact"/>
        <w:numPr>
          <w:ilvl w:val="0"/>
          <w:numId w:val="1001"/>
        </w:numPr>
      </w:pPr>
      <w:r>
        <w:t xml:space="preserve">National Provider Identifier (NPI): [10-digit number]</w:t>
      </w:r>
    </w:p>
    <w:p>
      <w:pPr>
        <w:pStyle w:val="Compact"/>
        <w:numPr>
          <w:ilvl w:val="0"/>
          <w:numId w:val="1001"/>
        </w:numPr>
      </w:pPr>
      <w:r>
        <w:t xml:space="preserve">Practice address: [Address]</w:t>
      </w:r>
    </w:p>
    <w:p>
      <w:pPr>
        <w:pStyle w:val="Compact"/>
        <w:numPr>
          <w:ilvl w:val="0"/>
          <w:numId w:val="1001"/>
        </w:numPr>
      </w:pPr>
      <w:r>
        <w:t xml:space="preserve">Phone: [Phone]</w:t>
      </w:r>
    </w:p>
    <w:p>
      <w:pPr>
        <w:pStyle w:val="Compact"/>
        <w:numPr>
          <w:ilvl w:val="0"/>
          <w:numId w:val="1001"/>
        </w:numPr>
      </w:pPr>
      <w:r>
        <w:t xml:space="preserve">Signature: [Wet or compliant electronic signature]</w:t>
      </w:r>
    </w:p>
    <w:p>
      <w:pPr>
        <w:pStyle w:val="Compact"/>
        <w:numPr>
          <w:ilvl w:val="0"/>
          <w:numId w:val="1001"/>
        </w:numPr>
      </w:pPr>
      <w:r>
        <w:t xml:space="preserve">Date: [Date]</w:t>
      </w:r>
    </w:p>
    <w:p>
      <w:r>
        <w:pict>
          <v:rect style="width:0;height:1.5pt" o:hralign="center" o:hrstd="t" o:hr="t"/>
        </w:pict>
      </w:r>
    </w:p>
    <w:bookmarkEnd w:id="10"/>
    <w:bookmarkStart w:id="12" w:name="supporting-medical-record"/>
    <w:p>
      <w:pPr>
        <w:pStyle w:val="Heading2"/>
      </w:pPr>
      <w:r>
        <w:t xml:space="preserve">Supporting medical record</w:t>
      </w:r>
    </w:p>
    <w:p>
      <w:pPr>
        <w:pStyle w:val="FirstParagraph"/>
      </w:pPr>
      <w:r>
        <w:t xml:space="preserve">In addition to the SWO, the supporting medical record must document the</w:t>
      </w:r>
      <w:r>
        <w:t xml:space="preserve"> </w:t>
      </w:r>
      <w:r>
        <w:t xml:space="preserve">Group III coverage criteria under</w:t>
      </w:r>
      <w:r>
        <w:t xml:space="preserve"> </w:t>
      </w:r>
      <w:hyperlink r:id="rId11">
        <w:r>
          <w:rPr>
            <w:rStyle w:val="Hyperlink"/>
          </w:rPr>
          <w:t xml:space="preserve">Medicare LCD L33797</w:t>
        </w:r>
      </w:hyperlink>
      <w:r>
        <w:t xml:space="preserve">.</w:t>
      </w:r>
      <w:r>
        <w:t xml:space="preserve"> </w:t>
      </w:r>
      <w:r>
        <w:t xml:space="preserve">The record should include:</w:t>
      </w:r>
    </w:p>
    <w:p>
      <w:pPr>
        <w:pStyle w:val="Compact"/>
        <w:numPr>
          <w:ilvl w:val="0"/>
          <w:numId w:val="1002"/>
        </w:numPr>
      </w:pPr>
      <w:r>
        <w:t xml:space="preserve">The cluster headache diagnosis and ICD-10 subcode</w:t>
      </w:r>
    </w:p>
    <w:p>
      <w:pPr>
        <w:pStyle w:val="Compact"/>
        <w:numPr>
          <w:ilvl w:val="0"/>
          <w:numId w:val="1002"/>
        </w:numPr>
      </w:pPr>
      <w:r>
        <w:t xml:space="preserve">The clinical features supporting the diagnosis</w:t>
      </w:r>
    </w:p>
    <w:p>
      <w:pPr>
        <w:pStyle w:val="Compact"/>
        <w:numPr>
          <w:ilvl w:val="0"/>
          <w:numId w:val="1002"/>
        </w:numPr>
      </w:pPr>
      <w:r>
        <w:t xml:space="preserve">The rationale for high-flow oxygen as the chosen acute therapy</w:t>
      </w:r>
    </w:p>
    <w:p>
      <w:pPr>
        <w:pStyle w:val="Compact"/>
        <w:numPr>
          <w:ilvl w:val="0"/>
          <w:numId w:val="1002"/>
        </w:numPr>
      </w:pPr>
      <w:r>
        <w:t xml:space="preserve">Prior treatments tried and their outcomes, if applicable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www.cms.gov/medicare-coverage-database/view/article.aspx?articleid=52514" TargetMode="External" /><Relationship Type="http://schemas.openxmlformats.org/officeDocument/2006/relationships/hyperlink" Id="rId11" Target="https://www.cms.gov/medicare-coverage-database/view/lcd.aspx?lcdid=33797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www.cms.gov/medicare-coverage-database/view/article.aspx?articleid=52514" TargetMode="External" /><Relationship Type="http://schemas.openxmlformats.org/officeDocument/2006/relationships/hyperlink" Id="rId11" Target="https://www.cms.gov/medicare-coverage-database/view/lcd.aspx?lcdid=33797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Medicare Standard Written Order (SWO) example: home oxygen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