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ICD-10-CM diagnostic codes for cluster headache</w:t>
      </w:r>
    </w:p>
    <w:bookmarkStart w:id="12" w:name="X406ff4e57bbef469b1f95118802a28ab99f0b36"/>
    <w:p>
      <w:pPr>
        <w:pStyle w:val="Heading1"/>
      </w:pPr>
      <w:r>
        <w:t xml:space="preserve">ICD-10-CM diagnostic codes for cluster headache</w:t>
      </w:r>
    </w:p>
    <w:p>
      <w:pPr>
        <w:pStyle w:val="FirstParagraph"/>
      </w:pPr>
      <w:r>
        <w:t xml:space="preserve">Cluster headache falls under the</w:t>
      </w:r>
      <w:r>
        <w:t xml:space="preserve"> </w:t>
      </w:r>
      <w:r>
        <w:rPr>
          <w:b/>
          <w:bCs/>
        </w:rPr>
        <w:t xml:space="preserve">G44.0-</w:t>
      </w:r>
      <w:r>
        <w:t xml:space="preserve"> </w:t>
      </w:r>
      <w:r>
        <w:t xml:space="preserve">family in ICD-10-CM. The</w:t>
      </w:r>
      <w:r>
        <w:t xml:space="preserve"> </w:t>
      </w:r>
      <w:r>
        <w:t xml:space="preserve">specific subcode depends on whether the cluster headache is episodic or</w:t>
      </w:r>
      <w:r>
        <w:t xml:space="preserve"> </w:t>
      </w:r>
      <w:r>
        <w:t xml:space="preserve">chronic, and whether it is intractable.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Code</w:t>
            </w:r>
          </w:p>
        </w:tc>
        <w:tc>
          <w:tcPr/>
          <w:p>
            <w:pPr>
              <w:pStyle w:val="Compact"/>
            </w:pPr>
            <w:r>
              <w:t xml:space="preserve">Meaning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G44.001</w:t>
            </w:r>
          </w:p>
        </w:tc>
        <w:tc>
          <w:tcPr/>
          <w:p>
            <w:pPr>
              <w:pStyle w:val="Compact"/>
            </w:pPr>
            <w:r>
              <w:t xml:space="preserve">Cluster headache syndrome, unspecified, intractable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G44.009</w:t>
            </w:r>
          </w:p>
        </w:tc>
        <w:tc>
          <w:tcPr/>
          <w:p>
            <w:pPr>
              <w:pStyle w:val="Compact"/>
            </w:pPr>
            <w:r>
              <w:t xml:space="preserve">Cluster headache syndrome, unspecified, not intractable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G44.011</w:t>
            </w:r>
          </w:p>
        </w:tc>
        <w:tc>
          <w:tcPr/>
          <w:p>
            <w:pPr>
              <w:pStyle w:val="Compact"/>
            </w:pPr>
            <w:r>
              <w:t xml:space="preserve">Episodic cluster headache, intractable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G44.019</w:t>
            </w:r>
          </w:p>
        </w:tc>
        <w:tc>
          <w:tcPr/>
          <w:p>
            <w:pPr>
              <w:pStyle w:val="Compact"/>
            </w:pPr>
            <w:r>
              <w:t xml:space="preserve">Episodic cluster headache, not intractable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G44.021</w:t>
            </w:r>
          </w:p>
        </w:tc>
        <w:tc>
          <w:tcPr/>
          <w:p>
            <w:pPr>
              <w:pStyle w:val="Compact"/>
            </w:pPr>
            <w:r>
              <w:t xml:space="preserve">Chronic cluster headache, intractable</w:t>
            </w:r>
          </w:p>
        </w:tc>
      </w:tr>
      <w:tr>
        <w:tc>
          <w:tcPr/>
          <w:p>
            <w:pPr>
              <w:pStyle w:val="Compact"/>
            </w:pPr>
            <w:r>
              <w:t xml:space="preserve">G44.029</w:t>
            </w:r>
          </w:p>
        </w:tc>
        <w:tc>
          <w:tcPr/>
          <w:p>
            <w:pPr>
              <w:pStyle w:val="Compact"/>
            </w:pPr>
            <w:r>
              <w:t xml:space="preserve">Chronic cluster headache, not intractable</w:t>
            </w:r>
          </w:p>
        </w:tc>
      </w:tr>
    </w:tbl>
    <w:p>
      <w:pPr>
        <w:pStyle w:val="BlockText"/>
      </w:pPr>
      <w:r>
        <w:rPr>
          <w:i/>
          <w:iCs/>
        </w:rPr>
        <w:t xml:space="preserve">Verify the current subcode against the latest ICD-10-CM tabular list</w:t>
      </w:r>
      <w:r>
        <w:rPr>
          <w:i/>
          <w:iCs/>
        </w:rPr>
        <w:t xml:space="preserve"> </w:t>
      </w:r>
      <w:r>
        <w:rPr>
          <w:i/>
          <w:iCs/>
        </w:rPr>
        <w:t xml:space="preserve">before submitting. The structure above reflects the 2024 tabular list</w:t>
      </w:r>
      <w:r>
        <w:rPr>
          <w:i/>
          <w:iCs/>
        </w:rPr>
        <w:t xml:space="preserve"> </w:t>
      </w:r>
      <w:r>
        <w:rPr>
          <w:i/>
          <w:iCs/>
        </w:rPr>
        <w:t xml:space="preserve">and may be updated in subsequent revisions.</w:t>
      </w:r>
    </w:p>
    <w:bookmarkStart w:id="9" w:name="what-intractable-means"/>
    <w:p>
      <w:pPr>
        <w:pStyle w:val="Heading2"/>
      </w:pPr>
      <w:r>
        <w:t xml:space="preserve">What</w:t>
      </w:r>
      <w:r>
        <w:t xml:space="preserve"> </w:t>
      </w:r>
      <w:r>
        <w:t xml:space="preserve">“intractable”</w:t>
      </w:r>
      <w:r>
        <w:t xml:space="preserve"> </w:t>
      </w:r>
      <w:r>
        <w:t xml:space="preserve">means</w:t>
      </w:r>
    </w:p>
    <w:p>
      <w:pPr>
        <w:pStyle w:val="FirstParagraph"/>
      </w:pPr>
      <w:r>
        <w:t xml:space="preserve">For ICD-10-CM purposes,</w:t>
      </w:r>
      <w:r>
        <w:t xml:space="preserve"> </w:t>
      </w:r>
      <w:r>
        <w:t xml:space="preserve">“intractable”</w:t>
      </w:r>
      <w:r>
        <w:t xml:space="preserve"> </w:t>
      </w:r>
      <w:r>
        <w:t xml:space="preserve">generally indicates that the</w:t>
      </w:r>
      <w:r>
        <w:t xml:space="preserve"> </w:t>
      </w:r>
      <w:r>
        <w:t xml:space="preserve">condition has not responded to standard treatment. The exact threshold</w:t>
      </w:r>
      <w:r>
        <w:t xml:space="preserve"> </w:t>
      </w:r>
      <w:r>
        <w:t xml:space="preserve">is a clinical judgment; discuss with the prescribing clinician which</w:t>
      </w:r>
      <w:r>
        <w:t xml:space="preserve"> </w:t>
      </w:r>
      <w:r>
        <w:t xml:space="preserve">subcode best reflects the patient’s history.</w:t>
      </w:r>
    </w:p>
    <w:bookmarkEnd w:id="9"/>
    <w:bookmarkStart w:id="11" w:name="where-the-code-is-needed"/>
    <w:p>
      <w:pPr>
        <w:pStyle w:val="Heading2"/>
      </w:pPr>
      <w:r>
        <w:t xml:space="preserve">Where the code is needed</w:t>
      </w:r>
    </w:p>
    <w:p>
      <w:pPr>
        <w:pStyle w:val="Compact"/>
        <w:numPr>
          <w:ilvl w:val="0"/>
          <w:numId w:val="1001"/>
        </w:numPr>
      </w:pPr>
      <w:r>
        <w:t xml:space="preserve">The prescription itself</w:t>
      </w:r>
    </w:p>
    <w:p>
      <w:pPr>
        <w:pStyle w:val="Compact"/>
        <w:numPr>
          <w:ilvl w:val="0"/>
          <w:numId w:val="1001"/>
        </w:numPr>
      </w:pPr>
      <w:r>
        <w:t xml:space="preserve">The Medicare Standard Written Order (SWO); see</w:t>
      </w:r>
      <w:r>
        <w:t xml:space="preserve"> </w:t>
      </w:r>
      <w:r>
        <w:rPr>
          <w:rStyle w:val="VerbatimChar"/>
        </w:rPr>
        <w:t xml:space="preserve">07-swo-example.docx</w:t>
      </w:r>
    </w:p>
    <w:p>
      <w:pPr>
        <w:pStyle w:val="Compact"/>
        <w:numPr>
          <w:ilvl w:val="0"/>
          <w:numId w:val="1001"/>
        </w:numPr>
      </w:pPr>
      <w:r>
        <w:t xml:space="preserve">Insurance pre-authorisation requests</w:t>
      </w:r>
    </w:p>
    <w:p>
      <w:pPr>
        <w:pStyle w:val="Compact"/>
        <w:numPr>
          <w:ilvl w:val="0"/>
          <w:numId w:val="1001"/>
        </w:numPr>
      </w:pPr>
      <w:r>
        <w:t xml:space="preserve">The supporting medical record documenting Group III coverage under</w:t>
      </w:r>
      <w:r>
        <w:t xml:space="preserve"> </w:t>
      </w:r>
      <w:hyperlink r:id="rId10">
        <w:r>
          <w:rPr>
            <w:rStyle w:val="Hyperlink"/>
          </w:rPr>
          <w:t xml:space="preserve">Medicare LCD L33797</w:t>
        </w:r>
      </w:hyperlink>
    </w:p>
    <w:bookmarkEnd w:id="11"/>
    <w:bookmarkEnd w:id="1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0" Target="https://www.cms.gov/medicare-coverage-database/view/lcd.aspx?lcdid=33797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0" Target="https://www.cms.gov/medicare-coverage-database/view/lcd.aspx?lcdid=33797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ICD-10-CM diagnostic codes for cluster headache</dc:title>
  <dc:creator/>
  <cp:keywords/>
  <dcterms:created xsi:type="dcterms:W3CDTF">2026-05-19T11:51:11Z</dcterms:created>
  <dcterms:modified xsi:type="dcterms:W3CDTF">2026-05-19T11:51:11Z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