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Guidelines on oxygen for cluster headache: US edition</w:t>
      </w:r>
    </w:p>
    <w:bookmarkStart w:id="16" w:name="X49c46a79da69ee01ced9023606e544e3ac07d3b"/>
    <w:p>
      <w:pPr>
        <w:pStyle w:val="Heading1"/>
      </w:pPr>
      <w:r>
        <w:t xml:space="preserve">Guidelines on oxygen for cluster headache</w:t>
      </w:r>
    </w:p>
    <w:p>
      <w:pPr>
        <w:pStyle w:val="FirstParagraph"/>
      </w:pPr>
      <w:r>
        <w:t xml:space="preserve">A one-page summary of the official guidelines that recommend high-flow</w:t>
      </w:r>
      <w:r>
        <w:t xml:space="preserve"> </w:t>
      </w:r>
      <w:r>
        <w:t xml:space="preserve">oxygen as first-line acute therapy for cluster headache. Citations and</w:t>
      </w:r>
      <w:r>
        <w:t xml:space="preserve"> </w:t>
      </w:r>
      <w:r>
        <w:t xml:space="preserve">quotations are reproduced as references for the prescribing clinician,</w:t>
      </w:r>
      <w:r>
        <w:t xml:space="preserve"> </w:t>
      </w:r>
      <w:r>
        <w:t xml:space="preserve">supplier, and insurer.</w:t>
      </w:r>
    </w:p>
    <w:bookmarkStart w:id="9" w:name="american-headache-society-ahs"/>
    <w:p>
      <w:pPr>
        <w:pStyle w:val="Heading2"/>
      </w:pPr>
      <w:r>
        <w:t xml:space="preserve">American Headache Society (AHS)</w:t>
      </w:r>
    </w:p>
    <w:p>
      <w:pPr>
        <w:pStyle w:val="FirstParagraph"/>
      </w:pPr>
      <w:r>
        <w:t xml:space="preserve">High-flow oxygen (typically 6–12 L/min via non-rebreather mask) is</w:t>
      </w:r>
      <w:r>
        <w:t xml:space="preserve"> </w:t>
      </w:r>
      <w:r>
        <w:t xml:space="preserve">recognized as a</w:t>
      </w:r>
      <w:r>
        <w:t xml:space="preserve"> </w:t>
      </w:r>
      <w:r>
        <w:rPr>
          <w:b/>
          <w:bCs/>
        </w:rPr>
        <w:t xml:space="preserve">level A acute treatment</w:t>
      </w:r>
      <w:r>
        <w:t xml:space="preserve"> </w:t>
      </w:r>
      <w:r>
        <w:t xml:space="preserve">for cluster headache.</w:t>
      </w:r>
    </w:p>
    <w:bookmarkEnd w:id="9"/>
    <w:bookmarkStart w:id="10" w:name="european-academy-of-neurology-ean"/>
    <w:p>
      <w:pPr>
        <w:pStyle w:val="Heading2"/>
      </w:pPr>
      <w:r>
        <w:t xml:space="preserve">European Academy of Neurology (EAN)</w:t>
      </w:r>
    </w:p>
    <w:p>
      <w:pPr>
        <w:pStyle w:val="BlockText"/>
      </w:pPr>
      <w:r>
        <w:t xml:space="preserve">“The first option for the treatment of acute attacks of cluster</w:t>
      </w:r>
      <w:r>
        <w:t xml:space="preserve"> </w:t>
      </w:r>
      <w:r>
        <w:t xml:space="preserve">headache should be subcutaneous injection of sumatriptan 6 mg or the</w:t>
      </w:r>
      <w:r>
        <w:t xml:space="preserve"> </w:t>
      </w:r>
      <w:r>
        <w:t xml:space="preserve">inhalation of 100% oxygen with at least 12 L/min over 15 min.”</w:t>
      </w:r>
    </w:p>
    <w:bookmarkEnd w:id="10"/>
    <w:bookmarkStart w:id="13" w:name="X7209de91f815e34fd7c64bbf188ce43ce6cba4f"/>
    <w:p>
      <w:pPr>
        <w:pStyle w:val="Heading2"/>
      </w:pPr>
      <w:r>
        <w:t xml:space="preserve">Medicare: Local Coverage Determination L33797</w:t>
      </w:r>
    </w:p>
    <w:p>
      <w:pPr>
        <w:pStyle w:val="FirstParagraph"/>
      </w:pPr>
      <w:r>
        <w:t xml:space="preserve">Cluster headache is listed as a</w:t>
      </w:r>
      <w:r>
        <w:t xml:space="preserve"> </w:t>
      </w:r>
      <w:r>
        <w:rPr>
          <w:b/>
          <w:bCs/>
        </w:rPr>
        <w:t xml:space="preserve">Group III</w:t>
      </w:r>
      <w:r>
        <w:t xml:space="preserve"> </w:t>
      </w:r>
      <w:r>
        <w:t xml:space="preserve">qualifying condition for</w:t>
      </w:r>
      <w:r>
        <w:t xml:space="preserve"> </w:t>
      </w:r>
      <w:r>
        <w:t xml:space="preserve">home oxygen when criteria and documentation are met.</w:t>
      </w:r>
    </w:p>
    <w:p>
      <w:pPr>
        <w:pStyle w:val="Compact"/>
        <w:numPr>
          <w:ilvl w:val="0"/>
          <w:numId w:val="1001"/>
        </w:numPr>
      </w:pPr>
      <w:hyperlink r:id="rId11">
        <w:r>
          <w:rPr>
            <w:rStyle w:val="Hyperlink"/>
          </w:rPr>
          <w:t xml:space="preserve">LCD L33797: Home Oxygen</w:t>
        </w:r>
      </w:hyperlink>
    </w:p>
    <w:p>
      <w:pPr>
        <w:pStyle w:val="Compact"/>
        <w:numPr>
          <w:ilvl w:val="0"/>
          <w:numId w:val="1001"/>
        </w:numPr>
      </w:pPr>
      <w:hyperlink r:id="rId12">
        <w:r>
          <w:rPr>
            <w:rStyle w:val="Hyperlink"/>
          </w:rPr>
          <w:t xml:space="preserve">Policy Article A52514: current documentation and modifier rules</w:t>
        </w:r>
      </w:hyperlink>
    </w:p>
    <w:p>
      <w:pPr>
        <w:pStyle w:val="FirstParagraph"/>
      </w:pPr>
      <w:r>
        <w:t xml:space="preserve">A valid prescription requires a Standard Written Order (SWO) with the</w:t>
      </w:r>
      <w:r>
        <w:t xml:space="preserve"> </w:t>
      </w:r>
      <w:r>
        <w:t xml:space="preserve">patient’s name, date, item description, prescribing practitioner,</w:t>
      </w:r>
      <w:r>
        <w:t xml:space="preserve"> </w:t>
      </w:r>
      <w:r>
        <w:t xml:space="preserve">National Provider Identifier (NPI), and signature. The supporting medical record must document the Group III</w:t>
      </w:r>
      <w:r>
        <w:t xml:space="preserve"> </w:t>
      </w:r>
      <w:r>
        <w:t xml:space="preserve">coverage criteria.</w:t>
      </w:r>
    </w:p>
    <w:bookmarkEnd w:id="13"/>
    <w:bookmarkStart w:id="14" w:name="prescribing-guide"/>
    <w:p>
      <w:pPr>
        <w:pStyle w:val="Heading2"/>
      </w:pPr>
      <w:r>
        <w:t xml:space="preserve">Prescribing guide</w:t>
      </w:r>
    </w:p>
    <w:p>
      <w:pPr>
        <w:pStyle w:val="FirstParagraph"/>
      </w:pPr>
      <w:r>
        <w:t xml:space="preserve">Tepper et al. (</w:t>
      </w:r>
      <w:r>
        <w:rPr>
          <w:i/>
          <w:iCs/>
        </w:rPr>
        <w:t xml:space="preserve">Headache</w:t>
      </w:r>
      <w:r>
        <w:t xml:space="preserve">, 2017) provides a practical prescribing guide</w:t>
      </w:r>
      <w:r>
        <w:t xml:space="preserve"> </w:t>
      </w:r>
      <w:r>
        <w:t xml:space="preserve">for cluster-headache oxygen. The Medicare-specific portion predates the</w:t>
      </w:r>
      <w:r>
        <w:t xml:space="preserve"> </w:t>
      </w:r>
      <w:r>
        <w:t xml:space="preserve">2021 CMS decision and the 2023 LCD / Policy Article updates, so the LCD</w:t>
      </w:r>
      <w:r>
        <w:t xml:space="preserve"> </w:t>
      </w:r>
      <w:r>
        <w:t xml:space="preserve">and Policy Article above take precedence on coverage and documentation;</w:t>
      </w:r>
      <w:r>
        <w:t xml:space="preserve"> </w:t>
      </w:r>
      <w:r>
        <w:t xml:space="preserve">the Tepper article remains useful for prescription wording and supplier</w:t>
      </w:r>
      <w:r>
        <w:t xml:space="preserve"> </w:t>
      </w:r>
      <w:r>
        <w:t xml:space="preserve">education.</w:t>
      </w:r>
    </w:p>
    <w:bookmarkEnd w:id="14"/>
    <w:bookmarkStart w:id="15" w:name="Xcbcbb227258e139530558cf1f110ef2f926e2dd"/>
    <w:p>
      <w:pPr>
        <w:pStyle w:val="Heading2"/>
      </w:pPr>
      <w:r>
        <w:t xml:space="preserve">Other national guidelines (for cross-reference)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NICE CG150 (UK)</w:t>
      </w:r>
      <w:r>
        <w:t xml:space="preserve"> </w:t>
      </w:r>
      <w:r>
        <w:t xml:space="preserve">recognizes oxygen as a first-line acute treatment</w:t>
      </w:r>
      <w:r>
        <w:t xml:space="preserve"> </w:t>
      </w:r>
      <w:r>
        <w:t xml:space="preserve">for cluster headache:</w:t>
      </w:r>
    </w:p>
    <w:p>
      <w:pPr>
        <w:pStyle w:val="BlockText"/>
        <w:numPr>
          <w:ilvl w:val="0"/>
          <w:numId w:val="1000"/>
        </w:numPr>
      </w:pPr>
      <w:r>
        <w:t xml:space="preserve">“Offer oxygen and/or a subcutaneous or nasal triptan for the acute</w:t>
      </w:r>
      <w:r>
        <w:t xml:space="preserve"> </w:t>
      </w:r>
      <w:r>
        <w:t xml:space="preserve">treatment of cluster headache.”</w:t>
      </w:r>
    </w:p>
    <w:p>
      <w:pPr>
        <w:pStyle w:val="BlockText"/>
        <w:numPr>
          <w:ilvl w:val="0"/>
          <w:numId w:val="1000"/>
        </w:numPr>
      </w:pPr>
      <w:r>
        <w:t xml:space="preserve">“Use 100% oxygen at a flow rate of at least 12 litres per minute</w:t>
      </w:r>
      <w:r>
        <w:t xml:space="preserve"> </w:t>
      </w:r>
      <w:r>
        <w:t xml:space="preserve">with a non‑rebreathing mask and a reservoir bag, and arrange</w:t>
      </w:r>
      <w:r>
        <w:t xml:space="preserve"> </w:t>
      </w:r>
      <w:r>
        <w:t xml:space="preserve">provision of home and ambulatory oxygen.”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NHS Scotland’s Right Decisions for cluster headache</w:t>
      </w:r>
      <w:r>
        <w:t xml:space="preserve"> </w:t>
      </w:r>
      <w:r>
        <w:t xml:space="preserve">recommends</w:t>
      </w:r>
      <w:r>
        <w:t xml:space="preserve"> </w:t>
      </w:r>
      <w:r>
        <w:t xml:space="preserve">100% oxygen at 10–15 L/min for 15–20 minutes via non-rebreather mask</w:t>
      </w:r>
      <w:r>
        <w:t xml:space="preserve"> </w:t>
      </w:r>
      <w:r>
        <w:t xml:space="preserve">with no maximum use limit, and notes that an on-demand valve is</w:t>
      </w:r>
      <w:r>
        <w:t xml:space="preserve"> </w:t>
      </w:r>
      <w:r>
        <w:t xml:space="preserve">available on request.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2" Target="https://www.cms.gov/medicare-coverage-database/view/article.aspx?articleid=52514" TargetMode="External" /><Relationship Type="http://schemas.openxmlformats.org/officeDocument/2006/relationships/hyperlink" Id="rId11" Target="https://www.cms.gov/medicare-coverage-database/view/lcd.aspx?lcdid=33797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2" Target="https://www.cms.gov/medicare-coverage-database/view/article.aspx?articleid=52514" TargetMode="External" /><Relationship Type="http://schemas.openxmlformats.org/officeDocument/2006/relationships/hyperlink" Id="rId11" Target="https://www.cms.gov/medicare-coverage-database/view/lcd.aspx?lcdid=33797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on oxygen for cluster headache: US edition</dc:title>
  <dc:creator/>
  <cp:keywords/>
  <dcterms:created xsi:type="dcterms:W3CDTF">2026-05-19T11:51:11Z</dcterms:created>
  <dcterms:modified xsi:type="dcterms:W3CDTF">2026-05-19T11:51:11Z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