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Prescription request letter</w:t>
      </w:r>
    </w:p>
    <w:p>
      <w:pPr>
        <w:pStyle w:val="FirstParagraph"/>
      </w:pPr>
      <w:r>
        <w:rPr>
          <w:b/>
          <w:bCs/>
        </w:rPr>
        <w:t xml:space="preserve">[Your full name]</w:t>
      </w:r>
      <w:r>
        <w:t xml:space="preserve"> </w:t>
      </w:r>
      <w:r>
        <w:rPr>
          <w:b/>
          <w:bCs/>
        </w:rPr>
        <w:t xml:space="preserve">[Your address]</w:t>
      </w:r>
      <w:r>
        <w:t xml:space="preserve"> </w:t>
      </w:r>
      <w:r>
        <w:rPr>
          <w:b/>
          <w:bCs/>
        </w:rPr>
        <w:t xml:space="preserve">[Your phone number]</w:t>
      </w:r>
      <w:r>
        <w:t xml:space="preserve"> </w:t>
      </w:r>
      <w:r>
        <w:rPr>
          <w:b/>
          <w:bCs/>
        </w:rPr>
        <w:t xml:space="preserve">[Your email]</w:t>
      </w:r>
    </w:p>
    <w:p>
      <w:pPr>
        <w:pStyle w:val="BodyText"/>
      </w:pPr>
      <w:r>
        <w:rPr>
          <w:b/>
          <w:bCs/>
        </w:rPr>
        <w:t xml:space="preserve">Date:</w:t>
      </w:r>
      <w:r>
        <w:t xml:space="preserve"> </w:t>
      </w:r>
      <w:r>
        <w:t xml:space="preserve">[Date]</w:t>
      </w:r>
    </w:p>
    <w:p>
      <w:pPr>
        <w:pStyle w:val="BodyText"/>
      </w:pPr>
      <w:r>
        <w:rPr>
          <w:b/>
          <w:bCs/>
        </w:rPr>
        <w:t xml:space="preserve">To:</w:t>
      </w:r>
      <w:r>
        <w:t xml:space="preserve"> </w:t>
      </w:r>
      <w:r>
        <w:t xml:space="preserve">Dr. [Doctor’s name]</w:t>
      </w:r>
      <w:r>
        <w:t xml:space="preserve"> </w:t>
      </w:r>
      <w:r>
        <w:t xml:space="preserve">[Clinic name]</w:t>
      </w:r>
      <w:r>
        <w:t xml:space="preserve"> </w:t>
      </w:r>
      <w:r>
        <w:t xml:space="preserve">[Clinic address]</w:t>
      </w:r>
    </w:p>
    <w:p>
      <w:r>
        <w:pict>
          <v:rect style="width:0;height:1.5pt" o:hralign="center" o:hrstd="t" o:hr="t"/>
        </w:pict>
      </w:r>
    </w:p>
    <w:bookmarkStart w:id="12" w:name="X5a7b5a2e07c00bc96dd8f475154972156d460c0"/>
    <w:p>
      <w:pPr>
        <w:pStyle w:val="Heading2"/>
      </w:pPr>
      <w:r>
        <w:t xml:space="preserve">Re: Request for a prescription for high-flow oxygen therapy for cluster headache</w:t>
      </w:r>
    </w:p>
    <w:p>
      <w:pPr>
        <w:pStyle w:val="FirstParagraph"/>
      </w:pPr>
      <w:r>
        <w:t xml:space="preserve">Dear Dr. [Doctor’s last name],</w:t>
      </w:r>
    </w:p>
    <w:p>
      <w:pPr>
        <w:pStyle w:val="BodyText"/>
      </w:pPr>
      <w:r>
        <w:t xml:space="preserve">I am writing to ask you to consider prescribing high-flow oxygen</w:t>
      </w:r>
      <w:r>
        <w:t xml:space="preserve"> </w:t>
      </w:r>
      <w:r>
        <w:t xml:space="preserve">therapy to abort my cluster headache attacks. Below you will find a</w:t>
      </w:r>
      <w:r>
        <w:t xml:space="preserve"> </w:t>
      </w:r>
      <w:r>
        <w:t xml:space="preserve">short summary of the evidence and guidelines supporting oxygen for</w:t>
      </w:r>
      <w:r>
        <w:t xml:space="preserve"> </w:t>
      </w:r>
      <w:r>
        <w:t xml:space="preserve">cluster headache, a description of my own attack pattern, and the</w:t>
      </w:r>
      <w:r>
        <w:t xml:space="preserve"> </w:t>
      </w:r>
      <w:r>
        <w:t xml:space="preserve">specific prescription I am asking for.</w:t>
      </w:r>
    </w:p>
    <w:p>
      <w:pPr>
        <w:pStyle w:val="BodyText"/>
      </w:pPr>
      <w:r>
        <w:t xml:space="preserve">Alongside this letter I have also attached: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Draft documents</w:t>
      </w:r>
      <w:r>
        <w:t xml:space="preserve"> </w:t>
      </w:r>
      <w:r>
        <w:t xml:space="preserve">you may use or modify: prescriptions for</w:t>
      </w:r>
      <w:r>
        <w:t xml:space="preserve"> </w:t>
      </w:r>
      <w:r>
        <w:t xml:space="preserve">non-rebreather and demand-valve oxygen, a letter of medical</w:t>
      </w:r>
      <w:r>
        <w:t xml:space="preserve"> </w:t>
      </w:r>
      <w:r>
        <w:t xml:space="preserve">necessity, and an insurance appeals letter.</w:t>
      </w:r>
    </w:p>
    <w:p>
      <w:pPr>
        <w:pStyle w:val="Compact"/>
        <w:numPr>
          <w:ilvl w:val="0"/>
          <w:numId w:val="1001"/>
        </w:numPr>
      </w:pPr>
      <w:r>
        <w:t xml:space="preserve">A one-page</w:t>
      </w:r>
      <w:r>
        <w:t xml:space="preserve"> </w:t>
      </w:r>
      <w:r>
        <w:rPr>
          <w:b/>
          <w:bCs/>
        </w:rPr>
        <w:t xml:space="preserve">summary of the guidelines</w:t>
      </w:r>
      <w:r>
        <w:t xml:space="preserve"> </w:t>
      </w:r>
      <w:r>
        <w:t xml:space="preserve">that recommend oxygen as</w:t>
      </w:r>
      <w:r>
        <w:t xml:space="preserve"> </w:t>
      </w:r>
      <w:r>
        <w:t xml:space="preserve">first-line acute treatment for cluster headache, and one-page</w:t>
      </w:r>
      <w:r>
        <w:t xml:space="preserve"> </w:t>
      </w:r>
      <w:r>
        <w:rPr>
          <w:b/>
          <w:bCs/>
        </w:rPr>
        <w:t xml:space="preserve">summaries of the key studies</w:t>
      </w:r>
      <w:r>
        <w:t xml:space="preserve">.</w:t>
      </w:r>
    </w:p>
    <w:p>
      <w:pPr>
        <w:pStyle w:val="Compact"/>
        <w:numPr>
          <w:ilvl w:val="0"/>
          <w:numId w:val="1001"/>
        </w:numPr>
      </w:pPr>
      <w:r>
        <w:t xml:space="preserve">The</w:t>
      </w:r>
      <w:r>
        <w:t xml:space="preserve"> </w:t>
      </w:r>
      <w:r>
        <w:rPr>
          <w:b/>
          <w:bCs/>
        </w:rPr>
        <w:t xml:space="preserve">administrative references</w:t>
      </w:r>
      <w:r>
        <w:t xml:space="preserve"> </w:t>
      </w:r>
      <w:r>
        <w:t xml:space="preserve">that suppliers and insurers</w:t>
      </w:r>
      <w:r>
        <w:t xml:space="preserve"> </w:t>
      </w:r>
      <w:r>
        <w:t xml:space="preserve">typically request.</w:t>
      </w:r>
    </w:p>
    <w:bookmarkStart w:id="9" w:name="why-high-flow-oxygen"/>
    <w:p>
      <w:pPr>
        <w:pStyle w:val="Heading3"/>
      </w:pPr>
      <w:r>
        <w:t xml:space="preserve">Why high-flow oxygen</w:t>
      </w:r>
    </w:p>
    <w:p>
      <w:pPr>
        <w:pStyle w:val="FirstParagraph"/>
      </w:pPr>
      <w:r>
        <w:t xml:space="preserve">High-flow inhaled oxygen via non-rebreather mask is a guideline-recommended</w:t>
      </w:r>
      <w:r>
        <w:t xml:space="preserve"> </w:t>
      </w:r>
      <w:r>
        <w:t xml:space="preserve">first-line acute treatment for cluster headache. The key evidence: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Cohen et al., 2009 (JAMA).</w:t>
      </w:r>
      <w:r>
        <w:t xml:space="preserve"> </w:t>
      </w:r>
      <w:r>
        <w:t xml:space="preserve">Randomised, double-blind,</w:t>
      </w:r>
      <w:r>
        <w:t xml:space="preserve"> </w:t>
      </w:r>
      <w:r>
        <w:t xml:space="preserve">placebo-controlled trial. 78% of attacks were pain-free at 15 minutes</w:t>
      </w:r>
      <w:r>
        <w:t xml:space="preserve"> </w:t>
      </w:r>
      <w:r>
        <w:t xml:space="preserve">with 100% oxygen at 12 L/min, vs. 20% with placebo air.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Medrea et al., 2022 (Journal of Headache and Pain).</w:t>
      </w:r>
      <w:r>
        <w:t xml:space="preserve"> </w:t>
      </w:r>
      <w:r>
        <w:t xml:space="preserve">Network</w:t>
      </w:r>
      <w:r>
        <w:t xml:space="preserve"> </w:t>
      </w:r>
      <w:r>
        <w:t xml:space="preserve">meta-analysis of 13 RCTs. High-flow oxygen was the top-ranked acute</w:t>
      </w:r>
      <w:r>
        <w:t xml:space="preserve"> </w:t>
      </w:r>
      <w:r>
        <w:t xml:space="preserve">treatment (OR 9.0 vs placebo), with efficacy comparable to injectable</w:t>
      </w:r>
      <w:r>
        <w:t xml:space="preserve"> </w:t>
      </w:r>
      <w:r>
        <w:t xml:space="preserve">sumatriptan and superior to all other studied therapies. The review</w:t>
      </w:r>
      <w:r>
        <w:t xml:space="preserve"> </w:t>
      </w:r>
      <w:r>
        <w:t xml:space="preserve">notes:</w:t>
      </w:r>
      <w:r>
        <w:t xml:space="preserve"> </w:t>
      </w:r>
      <w:r>
        <w:rPr>
          <w:i/>
          <w:iCs/>
        </w:rPr>
        <w:t xml:space="preserve">“when low flow oxygen fails in patients who can tolerate oxygen,</w:t>
      </w:r>
      <w:r>
        <w:rPr>
          <w:i/>
          <w:iCs/>
        </w:rPr>
        <w:t xml:space="preserve"> </w:t>
      </w:r>
      <w:r>
        <w:rPr>
          <w:i/>
          <w:iCs/>
        </w:rPr>
        <w:t xml:space="preserve">increased flow rates should be tried.”</w:t>
      </w:r>
    </w:p>
    <w:p>
      <w:pPr>
        <w:pStyle w:val="FirstParagraph"/>
      </w:pPr>
      <w:r>
        <w:t xml:space="preserve">Major guidelines recommending oxygen as first-line acute therapy for</w:t>
      </w:r>
      <w:r>
        <w:t xml:space="preserve"> </w:t>
      </w:r>
      <w:r>
        <w:t xml:space="preserve">cluster headache include:</w:t>
      </w:r>
    </w:p>
    <w:p>
      <w:pPr>
        <w:pStyle w:val="Compact"/>
        <w:numPr>
          <w:ilvl w:val="0"/>
          <w:numId w:val="1003"/>
        </w:numPr>
      </w:pPr>
      <w:r>
        <w:t xml:space="preserve">The European Academy of Neurology (EAN)</w:t>
      </w:r>
    </w:p>
    <w:p>
      <w:pPr>
        <w:pStyle w:val="Compact"/>
        <w:numPr>
          <w:ilvl w:val="0"/>
          <w:numId w:val="1003"/>
        </w:numPr>
      </w:pPr>
      <w:r>
        <w:t xml:space="preserve">The American Headache Society (AHS), level A acute treatment</w:t>
      </w:r>
    </w:p>
    <w:p>
      <w:pPr>
        <w:pStyle w:val="Compact"/>
        <w:numPr>
          <w:ilvl w:val="0"/>
          <w:numId w:val="1003"/>
        </w:numPr>
      </w:pPr>
      <w:r>
        <w:t xml:space="preserve">The Medicare LCD L33797, which lists cluster headache as a Group III</w:t>
      </w:r>
      <w:r>
        <w:t xml:space="preserve"> </w:t>
      </w:r>
      <w:r>
        <w:t xml:space="preserve">qualifying condition for home oxygen</w:t>
      </w:r>
    </w:p>
    <w:p>
      <w:pPr>
        <w:pStyle w:val="FirstParagraph"/>
      </w:pPr>
      <w:r>
        <w:t xml:space="preserve">The AHS / American Migraine Foundation Joint Statement on Oxygen</w:t>
      </w:r>
      <w:r>
        <w:t xml:space="preserve"> </w:t>
      </w:r>
      <w:r>
        <w:t xml:space="preserve">Therapy for Cluster Headache adds that oxygen is</w:t>
      </w:r>
      <w:r>
        <w:t xml:space="preserve"> </w:t>
      </w:r>
      <w:r>
        <w:rPr>
          <w:i/>
          <w:iCs/>
        </w:rPr>
        <w:t xml:space="preserve">“particularly</w:t>
      </w:r>
      <w:r>
        <w:rPr>
          <w:i/>
          <w:iCs/>
        </w:rPr>
        <w:t xml:space="preserve"> </w:t>
      </w:r>
      <w:r>
        <w:rPr>
          <w:i/>
          <w:iCs/>
        </w:rPr>
        <w:t xml:space="preserve">required when triptans are contraindicated (common in the older</w:t>
      </w:r>
      <w:r>
        <w:rPr>
          <w:i/>
          <w:iCs/>
        </w:rPr>
        <w:t xml:space="preserve"> </w:t>
      </w:r>
      <w:r>
        <w:rPr>
          <w:i/>
          <w:iCs/>
        </w:rPr>
        <w:t xml:space="preserve">population), when there are multiple attacks a day, invaluable in</w:t>
      </w:r>
      <w:r>
        <w:rPr>
          <w:i/>
          <w:iCs/>
        </w:rPr>
        <w:t xml:space="preserve"> </w:t>
      </w:r>
      <w:r>
        <w:rPr>
          <w:i/>
          <w:iCs/>
        </w:rPr>
        <w:t xml:space="preserve">pregnancy (often overlooked) and when preventative and other abortive</w:t>
      </w:r>
      <w:r>
        <w:rPr>
          <w:i/>
          <w:iCs/>
        </w:rPr>
        <w:t xml:space="preserve"> </w:t>
      </w:r>
      <w:r>
        <w:rPr>
          <w:i/>
          <w:iCs/>
        </w:rPr>
        <w:t xml:space="preserve">therapies are not effective.”</w:t>
      </w:r>
    </w:p>
    <w:bookmarkEnd w:id="9"/>
    <w:bookmarkStart w:id="10" w:name="why-for-me"/>
    <w:p>
      <w:pPr>
        <w:pStyle w:val="Heading3"/>
      </w:pPr>
      <w:r>
        <w:t xml:space="preserve">Why for me</w:t>
      </w:r>
    </w:p>
    <w:p>
      <w:pPr>
        <w:pStyle w:val="FirstParagraph"/>
      </w:pPr>
      <w:r>
        <w:t xml:space="preserve">I have been diagnosed with cluster headache (see attached). [If you have</w:t>
      </w:r>
      <w:r>
        <w:t xml:space="preserve"> </w:t>
      </w:r>
      <w:r>
        <w:t xml:space="preserve">already tried triptans or other acute treatments, briefly describe what</w:t>
      </w:r>
      <w:r>
        <w:t xml:space="preserve"> </w:t>
      </w:r>
      <w:r>
        <w:t xml:space="preserve">worked, what didn’t, and any side effects.]</w:t>
      </w:r>
    </w:p>
    <w:p>
      <w:pPr>
        <w:pStyle w:val="BodyText"/>
      </w:pPr>
      <w:r>
        <w:t xml:space="preserve">The attacks [happen during the day / wake me from sleep / occur multiple</w:t>
      </w:r>
      <w:r>
        <w:t xml:space="preserve"> </w:t>
      </w:r>
      <w:r>
        <w:t xml:space="preserve">times per day], typically lasting [duration]. They are severely</w:t>
      </w:r>
      <w:r>
        <w:t xml:space="preserve"> </w:t>
      </w:r>
      <w:r>
        <w:t xml:space="preserve">disabling.</w:t>
      </w:r>
    </w:p>
    <w:bookmarkEnd w:id="10"/>
    <w:bookmarkStart w:id="11" w:name="what-im-asking-for"/>
    <w:p>
      <w:pPr>
        <w:pStyle w:val="Heading3"/>
      </w:pPr>
      <w:r>
        <w:t xml:space="preserve">What I’m asking for</w:t>
      </w:r>
    </w:p>
    <w:p>
      <w:pPr>
        <w:pStyle w:val="FirstParagraph"/>
      </w:pPr>
      <w:r>
        <w:t xml:space="preserve">A prescription for: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100% oxygen at 15 L/min</w:t>
      </w:r>
      <w:r>
        <w:t xml:space="preserve"> </w:t>
      </w:r>
      <w:r>
        <w:t xml:space="preserve">(or higher if you are comfortable</w:t>
      </w:r>
      <w:r>
        <w:t xml:space="preserve"> </w:t>
      </w:r>
      <w:r>
        <w:t xml:space="preserve">prescribing higher flow)</w:t>
      </w:r>
      <w:r>
        <w:t xml:space="preserve"> </w:t>
      </w:r>
      <w:r>
        <w:rPr>
          <w:b/>
          <w:bCs/>
        </w:rPr>
        <w:t xml:space="preserve">via non-rebreather mask, for up to 20</w:t>
      </w:r>
      <w:r>
        <w:rPr>
          <w:b/>
          <w:bCs/>
        </w:rPr>
        <w:t xml:space="preserve"> </w:t>
      </w:r>
      <w:r>
        <w:rPr>
          <w:b/>
          <w:bCs/>
        </w:rPr>
        <w:t xml:space="preserve">minutes per attack, as needed.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One large home cylinder (M or H size) and one portable cylinder</w:t>
      </w:r>
      <w:r>
        <w:rPr>
          <w:b/>
          <w:bCs/>
        </w:rPr>
        <w:t xml:space="preserve"> </w:t>
      </w:r>
      <w:r>
        <w:rPr>
          <w:b/>
          <w:bCs/>
        </w:rPr>
        <w:t xml:space="preserve">(E size).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A non-rebreather mask and tubing.</w:t>
      </w:r>
    </w:p>
    <w:p>
      <w:pPr>
        <w:pStyle w:val="FirstParagraph"/>
      </w:pPr>
      <w:r>
        <w:t xml:space="preserve">I have attached non-rebreather mask and demand valve oxygen (DVO)</w:t>
      </w:r>
      <w:r>
        <w:t xml:space="preserve"> </w:t>
      </w:r>
      <w:r>
        <w:t xml:space="preserve">prescription templates you may use as a starting point. DVO can</w:t>
      </w:r>
      <w:r>
        <w:t xml:space="preserve"> </w:t>
      </w:r>
      <w:r>
        <w:t xml:space="preserve">shorten time-to-abort considerably but is harder to obtain through</w:t>
      </w:r>
      <w:r>
        <w:t xml:space="preserve"> </w:t>
      </w:r>
      <w:r>
        <w:t xml:space="preserve">standard DME channels.</w:t>
      </w:r>
    </w:p>
    <w:p>
      <w:pPr>
        <w:pStyle w:val="BodyText"/>
      </w:pPr>
      <w:r>
        <w:t xml:space="preserve">If at any point you would like to discuss the evidence, the prescribing</w:t>
      </w:r>
      <w:r>
        <w:t xml:space="preserve"> </w:t>
      </w:r>
      <w:r>
        <w:t xml:space="preserve">guide referenced in the folder (Tepper et al., 2017), or</w:t>
      </w:r>
      <w:r>
        <w:t xml:space="preserve"> </w:t>
      </w:r>
      <w:r>
        <w:t xml:space="preserve">what other patients have found, I would welcome that conversation.</w:t>
      </w:r>
    </w:p>
    <w:p>
      <w:pPr>
        <w:pStyle w:val="BodyText"/>
      </w:pPr>
      <w:r>
        <w:t xml:space="preserve">Thank you for your time and care.</w:t>
      </w:r>
    </w:p>
    <w:p>
      <w:pPr>
        <w:pStyle w:val="BodyText"/>
      </w:pPr>
      <w:r>
        <w:t xml:space="preserve">Sincerely,</w:t>
      </w:r>
    </w:p>
    <w:p>
      <w:pPr>
        <w:pStyle w:val="BodyText"/>
      </w:pPr>
      <w:r>
        <w:rPr>
          <w:b/>
          <w:bCs/>
        </w:rPr>
        <w:t xml:space="preserve">[Your full name]</w:t>
      </w:r>
      <w:r>
        <w:t xml:space="preserve"> </w:t>
      </w:r>
      <w:r>
        <w:rPr>
          <w:b/>
          <w:bCs/>
        </w:rPr>
        <w:t xml:space="preserve">[Date of birth]</w:t>
      </w:r>
    </w:p>
    <w:bookmarkEnd w:id="11"/>
    <w:bookmarkEnd w:id="12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Prescription request letter</dc:title>
  <dc:creator/>
  <cp:keywords/>
  <dcterms:created xsi:type="dcterms:W3CDTF">2026-05-19T11:51:11Z</dcterms:created>
  <dcterms:modified xsi:type="dcterms:W3CDTF">2026-05-19T11:51:11Z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