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NHS Scotland Right Decisions cluster headache guidance (key points)</w:t>
      </w:r>
    </w:p>
    <w:bookmarkStart w:id="14" w:name="Xe01a635edd2aad362bc4c7cb3203419fd7500cd"/>
    <w:p>
      <w:pPr>
        <w:pStyle w:val="Heading1"/>
      </w:pPr>
      <w:r>
        <w:t xml:space="preserve">NHS Scotland Right Decisions cluster headache guidance</w:t>
      </w:r>
    </w:p>
    <w:p>
      <w:pPr>
        <w:pStyle w:val="FirstParagraph"/>
      </w:pPr>
      <w:r>
        <w:t xml:space="preserve">NHS Scotland’s</w:t>
      </w:r>
      <w:r>
        <w:t xml:space="preserve"> </w:t>
      </w:r>
      <w:r>
        <w:rPr>
          <w:i/>
          <w:iCs/>
        </w:rPr>
        <w:t xml:space="preserve">Right Decisions</w:t>
      </w:r>
      <w:r>
        <w:t xml:space="preserve"> </w:t>
      </w:r>
      <w:r>
        <w:t xml:space="preserve">cluster headache guidance is the most</w:t>
      </w:r>
      <w:r>
        <w:t xml:space="preserve"> </w:t>
      </w:r>
      <w:r>
        <w:t xml:space="preserve">patient-friendly UK guidance on oxygen for cluster headache. This is a</w:t>
      </w:r>
      <w:r>
        <w:t xml:space="preserve"> </w:t>
      </w:r>
      <w:r>
        <w:t xml:space="preserve">summary of the points most relevant to access; the full pathway is at:</w:t>
      </w:r>
    </w:p>
    <w:p>
      <w:pPr>
        <w:pStyle w:val="BodyText"/>
      </w:pPr>
      <w:hyperlink r:id="rId9">
        <w:r>
          <w:rPr>
            <w:rStyle w:val="Hyperlink"/>
          </w:rPr>
          <w:t xml:space="preserve">https://www.rightdecisions.scot.nhs.uk/neurology-pathways/headache/9-cluster-headache-guidance/</w:t>
        </w:r>
      </w:hyperlink>
    </w:p>
    <w:bookmarkStart w:id="10" w:name="acute-treatment"/>
    <w:p>
      <w:pPr>
        <w:pStyle w:val="Heading2"/>
      </w:pPr>
      <w:r>
        <w:t xml:space="preserve">Acute treatment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100% oxygen at 10–15 L/min</w:t>
      </w:r>
      <w:r>
        <w:t xml:space="preserve"> </w:t>
      </w:r>
      <w:r>
        <w:t xml:space="preserve">via a non-rebreather mask, for</w:t>
      </w:r>
      <w:r>
        <w:t xml:space="preserve"> </w:t>
      </w:r>
      <w:r>
        <w:rPr>
          <w:b/>
          <w:bCs/>
        </w:rPr>
        <w:t xml:space="preserve">15–20</w:t>
      </w:r>
      <w:r>
        <w:rPr>
          <w:b/>
          <w:bCs/>
        </w:rPr>
        <w:t xml:space="preserve"> </w:t>
      </w:r>
      <w:r>
        <w:rPr>
          <w:b/>
          <w:bCs/>
        </w:rPr>
        <w:t xml:space="preserve">minutes per attack</w:t>
      </w:r>
      <w:r>
        <w:t xml:space="preserve">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No maximum use limit</w:t>
      </w:r>
      <w:r>
        <w:t xml:space="preserve"> </w:t>
      </w:r>
      <w:r>
        <w:t xml:space="preserve">is specified.</w:t>
      </w:r>
    </w:p>
    <w:p>
      <w:pPr>
        <w:pStyle w:val="Compact"/>
        <w:numPr>
          <w:ilvl w:val="0"/>
          <w:numId w:val="1001"/>
        </w:numPr>
      </w:pPr>
      <w:r>
        <w:t xml:space="preserve">An</w:t>
      </w:r>
      <w:r>
        <w:t xml:space="preserve"> </w:t>
      </w:r>
      <w:r>
        <w:rPr>
          <w:b/>
          <w:bCs/>
        </w:rPr>
        <w:t xml:space="preserve">on-demand valve</w:t>
      </w:r>
      <w:r>
        <w:t xml:space="preserve"> </w:t>
      </w:r>
      <w:r>
        <w:t xml:space="preserve">is available on request for patients who do</w:t>
      </w:r>
      <w:r>
        <w:t xml:space="preserve"> </w:t>
      </w:r>
      <w:r>
        <w:t xml:space="preserve">not tolerate a non-rebreather mask.</w:t>
      </w:r>
    </w:p>
    <w:bookmarkEnd w:id="10"/>
    <w:bookmarkStart w:id="11" w:name="implications-for-access"/>
    <w:p>
      <w:pPr>
        <w:pStyle w:val="Heading2"/>
      </w:pPr>
      <w:r>
        <w:t xml:space="preserve">Implications for access</w:t>
      </w:r>
    </w:p>
    <w:p>
      <w:pPr>
        <w:pStyle w:val="Compact"/>
        <w:numPr>
          <w:ilvl w:val="0"/>
          <w:numId w:val="1002"/>
        </w:numPr>
      </w:pPr>
      <w:r>
        <w:t xml:space="preserve">Patients in Scotland have an explicit guideline-level statement that</w:t>
      </w:r>
      <w:r>
        <w:t xml:space="preserve"> </w:t>
      </w:r>
      <w:r>
        <w:t xml:space="preserve">there is</w:t>
      </w:r>
      <w:r>
        <w:t xml:space="preserve"> </w:t>
      </w:r>
      <w:r>
        <w:rPr>
          <w:b/>
          <w:bCs/>
        </w:rPr>
        <w:t xml:space="preserve">no daily use cap</w:t>
      </w:r>
      <w:r>
        <w:t xml:space="preserve">, which is useful when a supplier or</w:t>
      </w:r>
      <w:r>
        <w:t xml:space="preserve"> </w:t>
      </w:r>
      <w:r>
        <w:t xml:space="preserve">pharmacy assumes a cap.</w:t>
      </w:r>
    </w:p>
    <w:p>
      <w:pPr>
        <w:pStyle w:val="Compact"/>
        <w:numPr>
          <w:ilvl w:val="0"/>
          <w:numId w:val="1002"/>
        </w:numPr>
      </w:pPr>
      <w:r>
        <w:t xml:space="preserve">Patients in Scotland can request a</w:t>
      </w:r>
      <w:r>
        <w:t xml:space="preserve"> </w:t>
      </w:r>
      <w:r>
        <w:rPr>
          <w:b/>
          <w:bCs/>
        </w:rPr>
        <w:t xml:space="preserve">demand valve</w:t>
      </w:r>
      <w:r>
        <w:t xml:space="preserve"> </w:t>
      </w:r>
      <w:r>
        <w:t xml:space="preserve">through the</w:t>
      </w:r>
      <w:r>
        <w:t xml:space="preserve"> </w:t>
      </w:r>
      <w:r>
        <w:t xml:space="preserve">ordinary pathway without needing to argue for a non-standard</w:t>
      </w:r>
      <w:r>
        <w:t xml:space="preserve"> </w:t>
      </w:r>
      <w:r>
        <w:t xml:space="preserve">prescription.</w:t>
      </w:r>
    </w:p>
    <w:bookmarkEnd w:id="11"/>
    <w:bookmarkStart w:id="12" w:name="prescribing-pathway-in-scotland"/>
    <w:p>
      <w:pPr>
        <w:pStyle w:val="Heading2"/>
      </w:pPr>
      <w:r>
        <w:t xml:space="preserve">Prescribing pathway in Scotland</w:t>
      </w:r>
    </w:p>
    <w:p>
      <w:pPr>
        <w:pStyle w:val="FirstParagraph"/>
      </w:pPr>
      <w:r>
        <w:t xml:space="preserve">Oxygen for cluster headache in Scotland is generally prescribed under</w:t>
      </w:r>
      <w:r>
        <w:t xml:space="preserve"> </w:t>
      </w:r>
      <w:r>
        <w:t xml:space="preserve">the</w:t>
      </w:r>
      <w:r>
        <w:t xml:space="preserve"> </w:t>
      </w:r>
      <w:r>
        <w:rPr>
          <w:b/>
          <w:bCs/>
        </w:rPr>
        <w:t xml:space="preserve">secondary-care pathway</w:t>
      </w:r>
      <w:r>
        <w:t xml:space="preserve">: by a neurologist or headache specialist</w:t>
      </w:r>
      <w:r>
        <w:t xml:space="preserve"> </w:t>
      </w:r>
      <w:r>
        <w:t xml:space="preserve">rather than a GP. OUCH UK and patient communities can help identify</w:t>
      </w:r>
      <w:r>
        <w:t xml:space="preserve"> </w:t>
      </w:r>
      <w:r>
        <w:t xml:space="preserve">specialists familiar with the pathway.</w:t>
      </w:r>
    </w:p>
    <w:bookmarkEnd w:id="12"/>
    <w:bookmarkStart w:id="13" w:name="why-this-matters-outside-scotland"/>
    <w:p>
      <w:pPr>
        <w:pStyle w:val="Heading2"/>
      </w:pPr>
      <w:r>
        <w:t xml:space="preserve">Why this matters outside Scotland</w:t>
      </w:r>
    </w:p>
    <w:p>
      <w:pPr>
        <w:pStyle w:val="FirstParagraph"/>
      </w:pPr>
      <w:r>
        <w:t xml:space="preserve">This excerpt is included in the UK bundle because:</w:t>
      </w:r>
    </w:p>
    <w:p>
      <w:pPr>
        <w:pStyle w:val="Compact"/>
        <w:numPr>
          <w:ilvl w:val="0"/>
          <w:numId w:val="1003"/>
        </w:numPr>
      </w:pPr>
      <w:r>
        <w:t xml:space="preserve">It can be cited by patients in</w:t>
      </w:r>
      <w:r>
        <w:t xml:space="preserve"> </w:t>
      </w:r>
      <w:r>
        <w:rPr>
          <w:b/>
          <w:bCs/>
        </w:rPr>
        <w:t xml:space="preserve">England, Wales, and Northern</w:t>
      </w:r>
      <w:r>
        <w:rPr>
          <w:b/>
          <w:bCs/>
        </w:rPr>
        <w:t xml:space="preserve"> </w:t>
      </w:r>
      <w:r>
        <w:rPr>
          <w:b/>
          <w:bCs/>
        </w:rPr>
        <w:t xml:space="preserve">Ireland</w:t>
      </w:r>
      <w:r>
        <w:t xml:space="preserve"> </w:t>
      </w:r>
      <w:r>
        <w:t xml:space="preserve">as evidence of the safety and appropriateness of unrestricted</w:t>
      </w:r>
      <w:r>
        <w:t xml:space="preserve"> </w:t>
      </w:r>
      <w:r>
        <w:t xml:space="preserve">on-demand use, and of the availability of demand-valve oxygen, when</w:t>
      </w:r>
      <w:r>
        <w:t xml:space="preserve"> </w:t>
      </w:r>
      <w:r>
        <w:t xml:space="preserve">arguing for the same provisioning under their local pathway.</w:t>
      </w:r>
    </w:p>
    <w:p>
      <w:pPr>
        <w:pStyle w:val="Compact"/>
        <w:numPr>
          <w:ilvl w:val="0"/>
          <w:numId w:val="1003"/>
        </w:numPr>
      </w:pPr>
      <w:r>
        <w:t xml:space="preserve">It is useful with GPs who are concerned about flow-rate or</w:t>
      </w:r>
      <w:r>
        <w:t xml:space="preserve"> </w:t>
      </w:r>
      <w:r>
        <w:t xml:space="preserve">duration-of-use safety.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9" Target="https://www.rightdecisions.scot.nhs.uk/neurology-pathways/headache/9-cluster-headache-guidance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9" Target="https://www.rightdecisions.scot.nhs.uk/neurology-pathways/headache/9-cluster-headache-guidance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NHS Scotland Right Decisions cluster headache guidance (key points)</dc:title>
  <dc:creator/>
  <cp:keywords/>
  <dcterms:created xsi:type="dcterms:W3CDTF">2026-05-19T11:51:10Z</dcterms:created>
  <dcterms:modified xsi:type="dcterms:W3CDTF">2026-05-19T11:51:10Z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