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HOOF Part A, HOCF, and IHORM: a guide for cluster headache (England and Wales)</w:t>
      </w:r>
    </w:p>
    <w:p>
      <w:pPr>
        <w:pStyle w:val="FirstParagraph"/>
      </w:pPr>
      <w:r>
        <w:t xml:space="preserve">Home oxygen for cluster headache in England and Wales is prescribed</w:t>
      </w:r>
      <w:r>
        <w:t xml:space="preserve"> </w:t>
      </w:r>
      <w:r>
        <w:t xml:space="preserve">via the</w:t>
      </w:r>
      <w:r>
        <w:t xml:space="preserve"> </w:t>
      </w:r>
      <w:r>
        <w:rPr>
          <w:b/>
          <w:bCs/>
        </w:rPr>
        <w:t xml:space="preserve">Home Oxygen Order Form (HOOF) Part A</w:t>
      </w:r>
      <w:r>
        <w:t xml:space="preserve">, supported by the</w:t>
      </w:r>
      <w:r>
        <w:t xml:space="preserve"> </w:t>
      </w:r>
      <w:r>
        <w:rPr>
          <w:b/>
          <w:bCs/>
        </w:rPr>
        <w:t xml:space="preserve">Home Oxygen Consent Form (HOCF)</w:t>
      </w:r>
      <w:r>
        <w:t xml:space="preserve"> </w:t>
      </w:r>
      <w:r>
        <w:t xml:space="preserve">and the</w:t>
      </w:r>
      <w:r>
        <w:t xml:space="preserve"> </w:t>
      </w:r>
      <w:r>
        <w:rPr>
          <w:b/>
          <w:bCs/>
        </w:rPr>
        <w:t xml:space="preserve">Initial Home Oxygen Risk</w:t>
      </w:r>
      <w:r>
        <w:rPr>
          <w:b/>
          <w:bCs/>
        </w:rPr>
        <w:t xml:space="preserve"> </w:t>
      </w:r>
      <w:r>
        <w:rPr>
          <w:b/>
          <w:bCs/>
        </w:rPr>
        <w:t xml:space="preserve">Mitigation Form (IHORM)</w:t>
      </w:r>
      <w:r>
        <w:t xml:space="preserve">. There is</w:t>
      </w:r>
      <w:r>
        <w:t xml:space="preserve"> </w:t>
      </w:r>
      <w:r>
        <w:rPr>
          <w:b/>
          <w:bCs/>
        </w:rPr>
        <w:t xml:space="preserve">no separate paper prescription</w:t>
      </w:r>
      <w:r>
        <w:t xml:space="preserve"> </w:t>
      </w:r>
      <w:r>
        <w:t xml:space="preserve">— the HOOF</w:t>
      </w:r>
      <w:r>
        <w:t xml:space="preserve"> </w:t>
      </w:r>
      <w:r>
        <w:rPr>
          <w:i/>
          <w:iCs/>
        </w:rPr>
        <w:t xml:space="preserve">is</w:t>
      </w:r>
      <w:r>
        <w:t xml:space="preserve"> </w:t>
      </w:r>
      <w:r>
        <w:t xml:space="preserve">the prescription. The GP submits it to the regional</w:t>
      </w:r>
      <w:r>
        <w:t xml:space="preserve"> </w:t>
      </w:r>
      <w:r>
        <w:t xml:space="preserve">home-oxygen contractor (BOC and others) via the supplier’s online</w:t>
      </w:r>
      <w:r>
        <w:t xml:space="preserve"> </w:t>
      </w:r>
      <w:r>
        <w:t xml:space="preserve">portal.</w:t>
      </w:r>
    </w:p>
    <w:p>
      <w:pPr>
        <w:pStyle w:val="BodyText"/>
      </w:pPr>
      <w:r>
        <w:t xml:space="preserve">OUCH UK publishes</w:t>
      </w:r>
      <w:r>
        <w:t xml:space="preserve"> </w:t>
      </w:r>
      <w:r>
        <w:rPr>
          <w:b/>
          <w:bCs/>
        </w:rPr>
        <w:t xml:space="preserve">pre-completed HOOF Part A forms</w:t>
      </w:r>
      <w:r>
        <w:t xml:space="preserve"> </w:t>
      </w:r>
      <w:r>
        <w:t xml:space="preserve">for cluster</w:t>
      </w:r>
      <w:r>
        <w:t xml:space="preserve"> </w:t>
      </w:r>
      <w:r>
        <w:t xml:space="preserve">headache. They are included in this folder under</w:t>
      </w:r>
      <w:r>
        <w:t xml:space="preserve"> </w:t>
      </w:r>
      <w:r>
        <w:rPr>
          <w:rStyle w:val="VerbatimChar"/>
        </w:rPr>
        <w:t xml:space="preserve">ouch-uk-forms/</w:t>
      </w:r>
      <w:r>
        <w:t xml:space="preserve">, retrieved from</w:t>
      </w:r>
      <w:r>
        <w:t xml:space="preserve"> </w:t>
      </w:r>
      <w:hyperlink r:id="rId9">
        <w:r>
          <w:rPr>
            <w:rStyle w:val="Hyperlink"/>
          </w:rPr>
          <w:t xml:space="preserve">ouchuk.org/downloads</w:t>
        </w:r>
      </w:hyperlink>
      <w:r>
        <w:t xml:space="preserve"> </w:t>
      </w:r>
      <w:r>
        <w:t xml:space="preserve">in May 2026. The</w:t>
      </w:r>
      <w:r>
        <w:t xml:space="preserve"> </w:t>
      </w:r>
      <w:r>
        <w:t xml:space="preserve">GP only has to add the patient and practice details, sign the</w:t>
      </w:r>
      <w:r>
        <w:t xml:space="preserve"> </w:t>
      </w:r>
      <w:r>
        <w:t xml:space="preserve">declaration, and submit.</w:t>
      </w:r>
    </w:p>
    <w:bookmarkStart w:id="10" w:name="X34f5174c885b0238560981c6960778774e3f556"/>
    <w:p>
      <w:pPr>
        <w:pStyle w:val="Heading2"/>
      </w:pPr>
      <w:r>
        <w:t xml:space="preserve">Pre-filled HOOF Part A: standard high-flow (non-rebreather mask)</w:t>
      </w:r>
    </w:p>
    <w:p>
      <w:pPr>
        <w:pStyle w:val="FirstParagraph"/>
      </w:pPr>
      <w:r>
        <w:t xml:space="preserve">File:</w:t>
      </w:r>
      <w:r>
        <w:t xml:space="preserve"> </w:t>
      </w:r>
      <w:r>
        <w:rPr>
          <w:rStyle w:val="VerbatimChar"/>
        </w:rPr>
        <w:t xml:space="preserve">ouch-uk-forms/hoof-part-a-non-rebreather--ouch-uk-may-2026.pdf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HOOF field</w:t>
            </w:r>
          </w:p>
        </w:tc>
        <w:tc>
          <w:tcPr/>
          <w:p>
            <w:pPr>
              <w:pStyle w:val="Compact"/>
            </w:pPr>
            <w:r>
              <w:t xml:space="preserve">Value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3.1 Clinical Code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18</w:t>
            </w:r>
            <w:r>
              <w:t xml:space="preserve"> </w:t>
            </w:r>
            <w:r>
              <w:t xml:space="preserve">(Cluster headache)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3.2 Patient on NIV/CPAP</w:t>
            </w:r>
          </w:p>
        </w:tc>
        <w:tc>
          <w:tcPr/>
          <w:p>
            <w:pPr>
              <w:pStyle w:val="Compact"/>
            </w:pPr>
            <w:r>
              <w:t xml:space="preserve">No</w:t>
            </w:r>
          </w:p>
        </w:tc>
      </w:tr>
      <w:tr>
        <w:tc>
          <w:tcPr/>
          <w:p>
            <w:pPr>
              <w:pStyle w:val="Compact"/>
            </w:pPr>
            <w:r>
              <w:t xml:space="preserve">3.3 Paediatric Order</w:t>
            </w:r>
          </w:p>
        </w:tc>
        <w:tc>
          <w:tcPr/>
          <w:p>
            <w:pPr>
              <w:pStyle w:val="Compact"/>
            </w:pPr>
            <w:r>
              <w:t xml:space="preserve">No</w:t>
            </w:r>
          </w:p>
        </w:tc>
      </w:tr>
      <w:tr>
        <w:tc>
          <w:tcPr/>
          <w:p>
            <w:pPr>
              <w:pStyle w:val="Compact"/>
            </w:pPr>
            <w:r>
              <w:t xml:space="preserve">7 Order — Litres/Min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L/min</w:t>
            </w:r>
          </w:p>
        </w:tc>
      </w:tr>
      <w:tr>
        <w:tc>
          <w:tcPr/>
          <w:p>
            <w:pPr>
              <w:pStyle w:val="Compact"/>
            </w:pPr>
            <w:r>
              <w:t xml:space="preserve">7 Order — Hours/Day</w:t>
            </w:r>
          </w:p>
        </w:tc>
        <w:tc>
          <w:tcPr/>
          <w:p>
            <w:pPr>
              <w:pStyle w:val="Compact"/>
            </w:pPr>
            <w:r>
              <w:t xml:space="preserve">Up to 4 hrs</w:t>
            </w:r>
          </w:p>
        </w:tc>
      </w:tr>
      <w:tr>
        <w:tc>
          <w:tcPr/>
          <w:p>
            <w:pPr>
              <w:pStyle w:val="Compact"/>
            </w:pPr>
            <w:r>
              <w:t xml:space="preserve">8 Equipment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8.2 Static Cylinder(s)</w:t>
            </w:r>
          </w:p>
        </w:tc>
      </w:tr>
      <w:tr>
        <w:tc>
          <w:tcPr/>
          <w:p>
            <w:pPr>
              <w:pStyle w:val="Compact"/>
            </w:pPr>
            <w:r>
              <w:t xml:space="preserve">9 Consumables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100% non-rebreather mask</w:t>
            </w:r>
            <w:r>
              <w:t xml:space="preserve"> </w:t>
            </w:r>
            <w:r>
              <w:t xml:space="preserve">(no nasal cannulae)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 Delivery</w:t>
            </w:r>
          </w:p>
        </w:tc>
        <w:tc>
          <w:tcPr/>
          <w:p>
            <w:pPr>
              <w:pStyle w:val="Compact"/>
            </w:pPr>
            <w:r>
              <w:t xml:space="preserve">Standard (3 business days), or Urgent / Next Day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 Declaration</w:t>
            </w:r>
          </w:p>
        </w:tc>
        <w:tc>
          <w:tcPr/>
          <w:p>
            <w:pPr>
              <w:pStyle w:val="Compact"/>
            </w:pPr>
            <w:r>
              <w:t xml:space="preserve">Tick HOCF and IHORM complete; GP signs</w:t>
            </w:r>
          </w:p>
        </w:tc>
      </w:tr>
    </w:tbl>
    <w:p>
      <w:pPr>
        <w:pStyle w:val="BodyText"/>
      </w:pPr>
      <w:r>
        <w:t xml:space="preserve">Sections 5 and 6 (Hospital and Ward details) can be left blank for a</w:t>
      </w:r>
      <w:r>
        <w:t xml:space="preserve"> </w:t>
      </w:r>
      <w:r>
        <w:t xml:space="preserve">GP-initiated prescription.</w:t>
      </w:r>
    </w:p>
    <w:bookmarkEnd w:id="10"/>
    <w:bookmarkStart w:id="11" w:name="Xd3a0d5c04a53ffc9db9c1c9ff42b4639d4336da"/>
    <w:p>
      <w:pPr>
        <w:pStyle w:val="Heading2"/>
      </w:pPr>
      <w:r>
        <w:t xml:space="preserve">Pre-filled HOOF Part A: demand valve oxygen (DVO)</w:t>
      </w:r>
    </w:p>
    <w:p>
      <w:pPr>
        <w:pStyle w:val="FirstParagraph"/>
      </w:pPr>
      <w:r>
        <w:t xml:space="preserve">File:</w:t>
      </w:r>
      <w:r>
        <w:t xml:space="preserve"> </w:t>
      </w:r>
      <w:r>
        <w:rPr>
          <w:rStyle w:val="VerbatimChar"/>
        </w:rPr>
        <w:t xml:space="preserve">ouch-uk-forms/hoof-part-a-demand-valve--ouch-uk-may-2026.pdf</w:t>
      </w:r>
    </w:p>
    <w:p>
      <w:pPr>
        <w:pStyle w:val="BodyText"/>
      </w:pPr>
      <w:r>
        <w:t xml:space="preserve">Same as the standard form, plus: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Quantity: 2 cylinders</w:t>
      </w:r>
      <w:r>
        <w:t xml:space="preserve">, Up to 2 hrs/day.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Section 11 (Additional Patient Information)</w:t>
      </w:r>
      <w:r>
        <w:t xml:space="preserve"> </w:t>
      </w:r>
      <w:r>
        <w:t xml:space="preserve">contains the exact</w:t>
      </w:r>
      <w:r>
        <w:t xml:space="preserve"> </w:t>
      </w:r>
      <w:r>
        <w:t xml:space="preserve">wording the supplier looks for:</w:t>
      </w:r>
    </w:p>
    <w:p>
      <w:pPr>
        <w:pStyle w:val="BlockText"/>
        <w:numPr>
          <w:ilvl w:val="0"/>
          <w:numId w:val="1000"/>
        </w:numPr>
      </w:pPr>
      <w:r>
        <w:t xml:space="preserve">CLUSTER HEADACHE PT PLEASE SUPPLY B10P SCHRADER VALVE CYLINDERS AND</w:t>
      </w:r>
      <w:r>
        <w:t xml:space="preserve"> </w:t>
      </w:r>
      <w:r>
        <w:t xml:space="preserve">DEMAND VALVE</w:t>
      </w:r>
    </w:p>
    <w:p>
      <w:pPr>
        <w:pStyle w:val="FirstParagraph"/>
      </w:pPr>
      <w:r>
        <w:t xml:space="preserve">The demand valve needs a Schrader connector, which is why a separate</w:t>
      </w:r>
      <w:r>
        <w:t xml:space="preserve"> </w:t>
      </w:r>
      <w:r>
        <w:t xml:space="preserve">HOOF template exists. Note that DVO is not universally commissioned in</w:t>
      </w:r>
      <w:r>
        <w:t xml:space="preserve"> </w:t>
      </w:r>
      <w:r>
        <w:t xml:space="preserve">England and Wales; some ICBs supply it only to identified chronic</w:t>
      </w:r>
      <w:r>
        <w:t xml:space="preserve"> </w:t>
      </w:r>
      <w:r>
        <w:t xml:space="preserve">patients, and episodic patients may need to rent the valve privately</w:t>
      </w:r>
      <w:r>
        <w:t xml:space="preserve"> </w:t>
      </w:r>
      <w:r>
        <w:t xml:space="preserve">from BOC.</w:t>
      </w:r>
    </w:p>
    <w:bookmarkEnd w:id="11"/>
    <w:bookmarkStart w:id="12" w:name="hocf-home-oxygen-consent-form"/>
    <w:p>
      <w:pPr>
        <w:pStyle w:val="Heading2"/>
      </w:pPr>
      <w:r>
        <w:t xml:space="preserve">HOCF: Home Oxygen Consent Form</w:t>
      </w:r>
    </w:p>
    <w:p>
      <w:pPr>
        <w:pStyle w:val="FirstParagraph"/>
      </w:pPr>
      <w:r>
        <w:t xml:space="preserve">File:</w:t>
      </w:r>
      <w:r>
        <w:t xml:space="preserve"> </w:t>
      </w:r>
      <w:r>
        <w:rPr>
          <w:rStyle w:val="VerbatimChar"/>
        </w:rPr>
        <w:t xml:space="preserve">ouch-uk-forms/ihorm-and-hocf--ouch-uk-may-2026.pdf</w:t>
      </w:r>
      <w:r>
        <w:t xml:space="preserve"> </w:t>
      </w:r>
      <w:r>
        <w:t xml:space="preserve">(page 2).</w:t>
      </w:r>
    </w:p>
    <w:p>
      <w:pPr>
        <w:pStyle w:val="BodyText"/>
      </w:pPr>
      <w:r>
        <w:t xml:space="preserve">The patient signs to consent to their details being shared with the</w:t>
      </w:r>
      <w:r>
        <w:t xml:space="preserve"> </w:t>
      </w:r>
      <w:r>
        <w:t xml:space="preserve">oxygen supplier, the fire service, and the electricity distributor.</w:t>
      </w:r>
      <w:r>
        <w:t xml:space="preserve"> </w:t>
      </w:r>
      <w:r>
        <w:t xml:space="preserve">The form is</w:t>
      </w:r>
      <w:r>
        <w:t xml:space="preserve"> </w:t>
      </w:r>
      <w:r>
        <w:rPr>
          <w:b/>
          <w:bCs/>
        </w:rPr>
        <w:t xml:space="preserve">filed in the patient’s notes — not sent to the</w:t>
      </w:r>
      <w:r>
        <w:rPr>
          <w:b/>
          <w:bCs/>
        </w:rPr>
        <w:t xml:space="preserve"> </w:t>
      </w:r>
      <w:r>
        <w:rPr>
          <w:b/>
          <w:bCs/>
        </w:rPr>
        <w:t xml:space="preserve">supplier</w:t>
      </w:r>
      <w:r>
        <w:t xml:space="preserve">.</w:t>
      </w:r>
    </w:p>
    <w:bookmarkEnd w:id="12"/>
    <w:bookmarkStart w:id="13" w:name="X22000ffd65731d5c087ae706a20533759f33916"/>
    <w:p>
      <w:pPr>
        <w:pStyle w:val="Heading2"/>
      </w:pPr>
      <w:r>
        <w:t xml:space="preserve">IHORM: Initial Home Oxygen Risk Mitigation Form</w:t>
      </w:r>
    </w:p>
    <w:p>
      <w:pPr>
        <w:pStyle w:val="FirstParagraph"/>
      </w:pPr>
      <w:r>
        <w:t xml:space="preserve">File:</w:t>
      </w:r>
      <w:r>
        <w:t xml:space="preserve"> </w:t>
      </w:r>
      <w:r>
        <w:rPr>
          <w:rStyle w:val="VerbatimChar"/>
        </w:rPr>
        <w:t xml:space="preserve">ouch-uk-forms/ihorm-and-hocf--ouch-uk-may-2026.pdf</w:t>
      </w:r>
      <w:r>
        <w:t xml:space="preserve"> </w:t>
      </w:r>
      <w:r>
        <w:t xml:space="preserve">(page 1).</w:t>
      </w:r>
    </w:p>
    <w:p>
      <w:pPr>
        <w:pStyle w:val="BodyText"/>
      </w:pPr>
      <w:r>
        <w:t xml:space="preserve">Fire and falls risk assessment, with hard rules:</w:t>
      </w:r>
    </w:p>
    <w:p>
      <w:pPr>
        <w:pStyle w:val="Compact"/>
        <w:numPr>
          <w:ilvl w:val="0"/>
          <w:numId w:val="1002"/>
        </w:numPr>
      </w:pPr>
      <w:r>
        <w:t xml:space="preserve">If the patient or anyone in the household</w:t>
      </w:r>
      <w:r>
        <w:t xml:space="preserve"> </w:t>
      </w:r>
      <w:r>
        <w:rPr>
          <w:b/>
          <w:bCs/>
        </w:rPr>
        <w:t xml:space="preserve">smokes or uses</w:t>
      </w:r>
      <w:r>
        <w:rPr>
          <w:b/>
          <w:bCs/>
        </w:rPr>
        <w:t xml:space="preserve"> </w:t>
      </w:r>
      <w:r>
        <w:rPr>
          <w:b/>
          <w:bCs/>
        </w:rPr>
        <w:t xml:space="preserve">e-cigarettes / vapes</w:t>
      </w:r>
      <w:r>
        <w:t xml:space="preserve">, oxygen will not be supplied.</w:t>
      </w:r>
    </w:p>
    <w:p>
      <w:pPr>
        <w:pStyle w:val="Compact"/>
        <w:numPr>
          <w:ilvl w:val="0"/>
          <w:numId w:val="1002"/>
        </w:numPr>
      </w:pPr>
      <w:r>
        <w:t xml:space="preserve">Three or more</w:t>
      </w:r>
      <w:r>
        <w:t xml:space="preserve"> </w:t>
      </w:r>
      <w:r>
        <w:t xml:space="preserve">“moderate”</w:t>
      </w:r>
      <w:r>
        <w:t xml:space="preserve"> </w:t>
      </w:r>
      <w:r>
        <w:t xml:space="preserve">risk flags (joined housing, vulnerable</w:t>
      </w:r>
      <w:r>
        <w:t xml:space="preserve"> </w:t>
      </w:r>
      <w:r>
        <w:t xml:space="preserve">dependents, no smoke alarm) require referral to the Home Oxygen</w:t>
      </w:r>
      <w:r>
        <w:t xml:space="preserve"> </w:t>
      </w:r>
      <w:r>
        <w:t xml:space="preserve">Service before ordering.</w:t>
      </w:r>
    </w:p>
    <w:p>
      <w:pPr>
        <w:pStyle w:val="FirstParagraph"/>
      </w:pPr>
      <w:r>
        <w:t xml:space="preserve">The IHORM is also filed in the patient’s notes, not sent to the</w:t>
      </w:r>
      <w:r>
        <w:t xml:space="preserve"> </w:t>
      </w:r>
      <w:r>
        <w:t xml:space="preserve">supplier.</w:t>
      </w:r>
    </w:p>
    <w:bookmarkEnd w:id="13"/>
    <w:bookmarkStart w:id="14" w:name="Xb5815b44919b5b9892e215403a937386b58b989"/>
    <w:p>
      <w:pPr>
        <w:pStyle w:val="Heading2"/>
      </w:pPr>
      <w:r>
        <w:t xml:space="preserve">The Declaration tick-box (section 13 of the HOOF)</w:t>
      </w:r>
    </w:p>
    <w:p>
      <w:pPr>
        <w:pStyle w:val="FirstParagraph"/>
      </w:pPr>
      <w:r>
        <w:t xml:space="preserve">The HOOF will be</w:t>
      </w:r>
      <w:r>
        <w:t xml:space="preserve"> </w:t>
      </w:r>
      <w:r>
        <w:rPr>
          <w:b/>
          <w:bCs/>
        </w:rPr>
        <w:t xml:space="preserve">rejected by the supplier</w:t>
      </w:r>
      <w:r>
        <w:t xml:space="preserve"> </w:t>
      </w:r>
      <w:r>
        <w:t xml:space="preserve">if section 13 is not</w:t>
      </w:r>
      <w:r>
        <w:t xml:space="preserve"> </w:t>
      </w:r>
      <w:r>
        <w:t xml:space="preserve">ticked to confirm both the HOCF and the IHORM are on file. This is the</w:t>
      </w:r>
      <w:r>
        <w:t xml:space="preserve"> </w:t>
      </w:r>
      <w:r>
        <w:t xml:space="preserve">single most common reason a HOOF is bounced.</w:t>
      </w:r>
    </w:p>
    <w:bookmarkEnd w:id="14"/>
    <w:bookmarkStart w:id="16" w:name="where-to-submit"/>
    <w:p>
      <w:pPr>
        <w:pStyle w:val="Heading2"/>
      </w:pPr>
      <w:r>
        <w:t xml:space="preserve">Where to submit</w:t>
      </w:r>
    </w:p>
    <w:p>
      <w:pPr>
        <w:pStyle w:val="FirstParagraph"/>
      </w:pPr>
      <w:r>
        <w:t xml:space="preserve">The GP submits the completed HOOF via the regional supplier’s online</w:t>
      </w:r>
      <w:r>
        <w:t xml:space="preserve"> </w:t>
      </w:r>
      <w:r>
        <w:t xml:space="preserve">portal. The two largest UK suppliers: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BOC Healthcare</w:t>
      </w:r>
      <w:r>
        <w:t xml:space="preserve"> </w:t>
      </w:r>
      <w:r>
        <w:t xml:space="preserve">—</w:t>
      </w:r>
      <w:r>
        <w:t xml:space="preserve"> </w:t>
      </w:r>
      <w:hyperlink r:id="rId15">
        <w:r>
          <w:rPr>
            <w:rStyle w:val="Hyperlink"/>
          </w:rPr>
          <w:t xml:space="preserve">bochop.co.uk</w:t>
        </w:r>
      </w:hyperlink>
    </w:p>
    <w:p>
      <w:pPr>
        <w:pStyle w:val="Compact"/>
        <w:numPr>
          <w:ilvl w:val="0"/>
          <w:numId w:val="1003"/>
        </w:numPr>
      </w:pPr>
      <w:r>
        <w:t xml:space="preserve">Other regional contractors (Air Liquide, Dolby Vivisol, Baywater) —</w:t>
      </w:r>
      <w:r>
        <w:t xml:space="preserve"> </w:t>
      </w:r>
      <w:r>
        <w:t xml:space="preserve">the GP’s practice should already know which contractor covers their</w:t>
      </w:r>
      <w:r>
        <w:t xml:space="preserve"> </w:t>
      </w:r>
      <w:r>
        <w:t xml:space="preserve">postcode.</w:t>
      </w:r>
    </w:p>
    <w:bookmarkEnd w:id="16"/>
    <w:bookmarkStart w:id="17" w:name="X01e259eddb7975240b90e3cf9c031733eef839c"/>
    <w:p>
      <w:pPr>
        <w:pStyle w:val="Heading2"/>
      </w:pPr>
      <w:r>
        <w:t xml:space="preserve">How the source documents differ on flow rate and hours</w:t>
      </w:r>
    </w:p>
    <w:p>
      <w:pPr>
        <w:pStyle w:val="FirstParagraph"/>
      </w:pPr>
      <w:r>
        <w:t xml:space="preserve">UK and NHS sources vary slightly on the recommended flow rate and</w:t>
      </w:r>
      <w:r>
        <w:t xml:space="preserve"> </w:t>
      </w:r>
      <w:r>
        <w:t xml:space="preserve">daily limit. They are all defensible; the OUCH pre-filled HOOF</w:t>
      </w:r>
      <w:r>
        <w:t xml:space="preserve"> </w:t>
      </w:r>
      <w:r>
        <w:t xml:space="preserve">captures the most common configuration.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2970"/>
        <w:gridCol w:w="297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Source</w:t>
            </w:r>
          </w:p>
        </w:tc>
        <w:tc>
          <w:tcPr/>
          <w:p>
            <w:pPr>
              <w:pStyle w:val="Compact"/>
            </w:pPr>
            <w:r>
              <w:t xml:space="preserve">Flow rate</w:t>
            </w:r>
          </w:p>
        </w:tc>
        <w:tc>
          <w:tcPr/>
          <w:p>
            <w:pPr>
              <w:pStyle w:val="Compact"/>
            </w:pPr>
            <w:r>
              <w:t xml:space="preserve">Hours/day</w:t>
            </w:r>
          </w:p>
        </w:tc>
      </w:tr>
      <w:tr>
        <w:tc>
          <w:tcPr/>
          <w:p>
            <w:pPr>
              <w:pStyle w:val="Compact"/>
            </w:pPr>
            <w:r>
              <w:t xml:space="preserve">NICE CG150</w:t>
            </w:r>
          </w:p>
        </w:tc>
        <w:tc>
          <w:tcPr/>
          <w:p>
            <w:pPr>
              <w:pStyle w:val="Compact"/>
            </w:pPr>
            <w:r>
              <w:t xml:space="preserve">At least 12 L/min</w:t>
            </w:r>
          </w:p>
        </w:tc>
        <w:tc>
          <w:tcPr/>
          <w:p>
            <w:pPr>
              <w:pStyle w:val="Compact"/>
            </w:pPr>
            <w:r>
              <w:t xml:space="preserve">Not specified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OUCH pre-filled HOOF</w:t>
            </w:r>
          </w:p>
        </w:tc>
        <w:tc>
          <w:tcPr/>
          <w:p>
            <w:pPr>
              <w:pStyle w:val="Compact"/>
            </w:pPr>
            <w:r>
              <w:t xml:space="preserve">15 L/min</w:t>
            </w:r>
          </w:p>
        </w:tc>
        <w:tc>
          <w:tcPr/>
          <w:p>
            <w:pPr>
              <w:pStyle w:val="Compact"/>
            </w:pPr>
            <w:r>
              <w:t xml:space="preserve">Up to 4 hrs</w:t>
            </w:r>
          </w:p>
        </w:tc>
      </w:tr>
      <w:tr>
        <w:tc>
          <w:tcPr/>
          <w:p>
            <w:pPr>
              <w:pStyle w:val="Compact"/>
            </w:pPr>
            <w:r>
              <w:t xml:space="preserve">OUCH GP/neurologist leaflet</w:t>
            </w:r>
          </w:p>
        </w:tc>
        <w:tc>
          <w:tcPr/>
          <w:p>
            <w:pPr>
              <w:pStyle w:val="Compact"/>
            </w:pPr>
            <w:r>
              <w:t xml:space="preserve">12 L/min</w:t>
            </w:r>
          </w:p>
        </w:tc>
        <w:tc>
          <w:tcPr/>
          <w:p>
            <w:pPr>
              <w:pStyle w:val="Compact"/>
            </w:pPr>
            <w:r>
              <w:t xml:space="preserve">(Implicit — multiple attacks/day)</w:t>
            </w:r>
          </w:p>
        </w:tc>
      </w:tr>
      <w:tr>
        <w:tc>
          <w:tcPr/>
          <w:p>
            <w:pPr>
              <w:pStyle w:val="Compact"/>
            </w:pPr>
            <w:r>
              <w:t xml:space="preserve">OUCH patient leaflet</w:t>
            </w:r>
          </w:p>
        </w:tc>
        <w:tc>
          <w:tcPr/>
          <w:p>
            <w:pPr>
              <w:pStyle w:val="Compact"/>
            </w:pPr>
            <w:r>
              <w:t xml:space="preserve">12 L/min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Nottinghamshire APC pathway (2025)</w:t>
            </w:r>
          </w:p>
        </w:tc>
        <w:tc>
          <w:tcPr/>
          <w:p>
            <w:pPr>
              <w:pStyle w:val="Compact"/>
            </w:pPr>
            <w:r>
              <w:t xml:space="preserve">10–15 L/min, 15–20 min per attack</w:t>
            </w:r>
          </w:p>
        </w:tc>
        <w:tc>
          <w:tcPr/>
          <w:p>
            <w:pPr>
              <w:pStyle w:val="Compact"/>
            </w:pPr>
            <w:r>
              <w:t xml:space="preserve">No daily limit</w:t>
            </w:r>
          </w:p>
        </w:tc>
      </w:tr>
      <w:tr>
        <w:tc>
          <w:tcPr/>
          <w:p>
            <w:pPr>
              <w:pStyle w:val="Compact"/>
            </w:pPr>
            <w:r>
              <w:t xml:space="preserve">Bedfordshire/Luton/MK APC bulletin (2021)</w:t>
            </w:r>
          </w:p>
        </w:tc>
        <w:tc>
          <w:tcPr/>
          <w:p>
            <w:pPr>
              <w:pStyle w:val="Compact"/>
            </w:pPr>
            <w:r>
              <w:t xml:space="preserve">≥12 L/min</w:t>
            </w:r>
          </w:p>
        </w:tc>
        <w:tc>
          <w:tcPr/>
          <w:p>
            <w:pPr>
              <w:pStyle w:val="Compact"/>
            </w:pPr>
            <w:r>
              <w:t xml:space="preserve">Up to 4 hrs</w:t>
            </w:r>
          </w:p>
        </w:tc>
      </w:tr>
    </w:tbl>
    <w:p>
      <w:pPr>
        <w:pStyle w:val="BodyText"/>
      </w:pPr>
      <w:r>
        <w:t xml:space="preserve">A pragmatic prescription for most patients:</w:t>
      </w:r>
      <w:r>
        <w:t xml:space="preserve"> </w:t>
      </w:r>
      <w:r>
        <w:rPr>
          <w:b/>
          <w:bCs/>
        </w:rPr>
        <w:t xml:space="preserve">100% oxygen at 12–15</w:t>
      </w:r>
      <w:r>
        <w:rPr>
          <w:b/>
          <w:bCs/>
        </w:rPr>
        <w:t xml:space="preserve"> </w:t>
      </w:r>
      <w:r>
        <w:rPr>
          <w:b/>
          <w:bCs/>
        </w:rPr>
        <w:t xml:space="preserve">L/min via non-rebreather mask, up to 20 minutes per attack, as</w:t>
      </w:r>
      <w:r>
        <w:rPr>
          <w:b/>
          <w:bCs/>
        </w:rPr>
        <w:t xml:space="preserve"> </w:t>
      </w:r>
      <w:r>
        <w:rPr>
          <w:b/>
          <w:bCs/>
        </w:rPr>
        <w:t xml:space="preserve">needed.</w:t>
      </w:r>
    </w:p>
    <w:bookmarkEnd w:id="17"/>
    <w:bookmarkStart w:id="18" w:name="note-on-the-clinical-code"/>
    <w:p>
      <w:pPr>
        <w:pStyle w:val="Heading2"/>
      </w:pPr>
      <w:r>
        <w:t xml:space="preserve">Note on the clinical code</w:t>
      </w:r>
    </w:p>
    <w:p>
      <w:pPr>
        <w:pStyle w:val="FirstParagraph"/>
      </w:pPr>
      <w:r>
        <w:t xml:space="preserve">The HOOF lists cluster headache as</w:t>
      </w:r>
      <w:r>
        <w:t xml:space="preserve"> </w:t>
      </w:r>
      <w:r>
        <w:rPr>
          <w:b/>
          <w:bCs/>
        </w:rPr>
        <w:t xml:space="preserve">code 18</w:t>
      </w:r>
      <w:r>
        <w:t xml:space="preserve">. An older OUCH GP</w:t>
      </w:r>
      <w:r>
        <w:t xml:space="preserve"> </w:t>
      </w:r>
      <w:r>
        <w:t xml:space="preserve">leaflet still in circulation refers to code 20 — this is stale. Codes</w:t>
      </w:r>
      <w:r>
        <w:t xml:space="preserve"> </w:t>
      </w:r>
      <w:r>
        <w:t xml:space="preserve">are visible on the back of the form (Section 14).</w:t>
      </w:r>
    </w:p>
    <w:bookmarkEnd w:id="18"/>
    <w:bookmarkStart w:id="19" w:name="common-stumbling-blocks"/>
    <w:p>
      <w:pPr>
        <w:pStyle w:val="Heading2"/>
      </w:pPr>
      <w:r>
        <w:t xml:space="preserve">Common stumbling blocks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GP says oxygen can only be prescribed by a consultant.</w:t>
      </w:r>
      <w:r>
        <w:t xml:space="preserve"> </w:t>
      </w:r>
      <w:r>
        <w:t xml:space="preserve">Not true</w:t>
      </w:r>
      <w:r>
        <w:t xml:space="preserve"> </w:t>
      </w:r>
      <w:r>
        <w:t xml:space="preserve">in England and Wales: GPs are explicitly permitted to prescribe</w:t>
      </w:r>
      <w:r>
        <w:t xml:space="preserve"> </w:t>
      </w:r>
      <w:r>
        <w:t xml:space="preserve">under the Home Oxygen Assessment Service (HOAS) specification.</w:t>
      </w:r>
      <w:r>
        <w:t xml:space="preserve"> </w:t>
      </w:r>
      <w:r>
        <w:t xml:space="preserve">OUCH UK can supply a copy of that specification if needed.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Forgetting to tick the section 13 declaration.</w:t>
      </w:r>
      <w:r>
        <w:t xml:space="preserve"> </w:t>
      </w:r>
      <w:r>
        <w:t xml:space="preserve">This is the most</w:t>
      </w:r>
      <w:r>
        <w:t xml:space="preserve"> </w:t>
      </w:r>
      <w:r>
        <w:t xml:space="preserve">common reason the supplier rejects a HOOF.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Local commissioning refuses on-demand valve oxygen.</w:t>
      </w:r>
      <w:r>
        <w:t xml:space="preserve"> </w:t>
      </w:r>
      <w:r>
        <w:t xml:space="preserve">Some ICBs</w:t>
      </w:r>
      <w:r>
        <w:t xml:space="preserve"> </w:t>
      </w:r>
      <w:r>
        <w:t xml:space="preserve">restrict DVO to identified chronic patients. Ask for the refusal in</w:t>
      </w:r>
      <w:r>
        <w:t xml:space="preserve"> </w:t>
      </w:r>
      <w:r>
        <w:t xml:space="preserve">writing and escalate via the local ICB prescribing adviser.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Smoking in the household.</w:t>
      </w:r>
      <w:r>
        <w:t xml:space="preserve"> </w:t>
      </w:r>
      <w:r>
        <w:t xml:space="preserve">A hard block; the supplier will not</w:t>
      </w:r>
      <w:r>
        <w:t xml:space="preserve"> </w:t>
      </w:r>
      <w:r>
        <w:t xml:space="preserve">install oxygen.</w:t>
      </w:r>
    </w:p>
    <w:bookmarkEnd w:id="19"/>
    <w:bookmarkStart w:id="20" w:name="pre-existing-oxygen-users"/>
    <w:p>
      <w:pPr>
        <w:pStyle w:val="Heading2"/>
      </w:pPr>
      <w:r>
        <w:t xml:space="preserve">Pre-existing oxygen users</w:t>
      </w:r>
    </w:p>
    <w:p>
      <w:pPr>
        <w:pStyle w:val="FirstParagraph"/>
      </w:pPr>
      <w:r>
        <w:t xml:space="preserve">If the patient already has home oxygen for cluster headache (for</w:t>
      </w:r>
      <w:r>
        <w:t xml:space="preserve"> </w:t>
      </w:r>
      <w:r>
        <w:t xml:space="preserve">example, after relocating or changing GP), a referral to the local</w:t>
      </w:r>
      <w:r>
        <w:t xml:space="preserve"> </w:t>
      </w:r>
      <w:r>
        <w:t xml:space="preserve">Home Oxygen Service (HOS) is needed for a home-based risk</w:t>
      </w:r>
      <w:r>
        <w:t xml:space="preserve"> </w:t>
      </w:r>
      <w:r>
        <w:t xml:space="preserve">re-assessment. The HOS can then re-prescribe; a fresh HOOF is not</w:t>
      </w:r>
      <w:r>
        <w:t xml:space="preserve"> </w:t>
      </w:r>
      <w:r>
        <w:t xml:space="preserve">always required.</w:t>
      </w:r>
    </w:p>
    <w:bookmarkEnd w:id="20"/>
    <w:bookmarkStart w:id="21" w:name="scotland-and-northern-ireland"/>
    <w:p>
      <w:pPr>
        <w:pStyle w:val="Heading2"/>
      </w:pPr>
      <w:r>
        <w:t xml:space="preserve">Scotland and Northern Ireland</w:t>
      </w:r>
    </w:p>
    <w:p>
      <w:pPr>
        <w:pStyle w:val="FirstParagraph"/>
      </w:pPr>
      <w:r>
        <w:t xml:space="preserve">These nations follow different pathways and generally require a</w:t>
      </w:r>
      <w:r>
        <w:t xml:space="preserve"> </w:t>
      </w:r>
      <w:r>
        <w:t xml:space="preserve">secondary-care clinician (consultant). See the NHS Scotland Right</w:t>
      </w:r>
      <w:r>
        <w:t xml:space="preserve"> </w:t>
      </w:r>
      <w:r>
        <w:t xml:space="preserve">Decisions excerpt in this folder.</w:t>
      </w:r>
    </w:p>
    <w:bookmarkEnd w:id="21"/>
    <w:bookmarkStart w:id="22" w:name="X2d4d8fa06aab77a3bd84bd0d8d9c7bd34288215"/>
    <w:p>
      <w:pPr>
        <w:pStyle w:val="Heading2"/>
      </w:pPr>
      <w:r>
        <w:t xml:space="preserve">Escalation path if the prescription stalls</w:t>
      </w:r>
    </w:p>
    <w:p>
      <w:pPr>
        <w:pStyle w:val="Compact"/>
        <w:numPr>
          <w:ilvl w:val="0"/>
          <w:numId w:val="1005"/>
        </w:numPr>
      </w:pPr>
      <w:r>
        <w:t xml:space="preserve">Ask for the refusal or hesitation in writing.</w:t>
      </w:r>
    </w:p>
    <w:p>
      <w:pPr>
        <w:pStyle w:val="Compact"/>
        <w:numPr>
          <w:ilvl w:val="0"/>
          <w:numId w:val="1005"/>
        </w:numPr>
      </w:pPr>
      <w:r>
        <w:t xml:space="preserve">Escalate to the practice manager.</w:t>
      </w:r>
    </w:p>
    <w:p>
      <w:pPr>
        <w:pStyle w:val="Compact"/>
        <w:numPr>
          <w:ilvl w:val="0"/>
          <w:numId w:val="1005"/>
        </w:numPr>
      </w:pPr>
      <w:r>
        <w:t xml:space="preserve">Escalate to the local</w:t>
      </w:r>
      <w:r>
        <w:t xml:space="preserve"> </w:t>
      </w:r>
      <w:r>
        <w:rPr>
          <w:b/>
          <w:bCs/>
        </w:rPr>
        <w:t xml:space="preserve">ICB prescribing adviser</w:t>
      </w:r>
      <w:r>
        <w:t xml:space="preserve">.</w:t>
      </w:r>
    </w:p>
    <w:p>
      <w:pPr>
        <w:pStyle w:val="Compact"/>
        <w:numPr>
          <w:ilvl w:val="0"/>
          <w:numId w:val="1005"/>
        </w:numPr>
      </w:pPr>
      <w:r>
        <w:t xml:space="preserve">If the GP cannot prescribe, request referral to a headache</w:t>
      </w:r>
      <w:r>
        <w:t xml:space="preserve"> </w:t>
      </w:r>
      <w:r>
        <w:t xml:space="preserve">specialist or specialist clinic.</w:t>
      </w:r>
    </w:p>
    <w:p>
      <w:pPr>
        <w:pStyle w:val="Compact"/>
        <w:numPr>
          <w:ilvl w:val="0"/>
          <w:numId w:val="1005"/>
        </w:numPr>
      </w:pPr>
      <w:r>
        <w:t xml:space="preserve">Contact the</w:t>
      </w:r>
      <w:r>
        <w:t xml:space="preserve"> </w:t>
      </w:r>
      <w:r>
        <w:rPr>
          <w:b/>
          <w:bCs/>
        </w:rPr>
        <w:t xml:space="preserve">OUCH UK helpline</w:t>
      </w:r>
      <w:r>
        <w:t xml:space="preserve"> </w:t>
      </w:r>
      <w:r>
        <w:t xml:space="preserve">on</w:t>
      </w:r>
      <w:r>
        <w:t xml:space="preserve"> </w:t>
      </w:r>
      <w:r>
        <w:rPr>
          <w:b/>
          <w:bCs/>
        </w:rPr>
        <w:t xml:space="preserve">0800 669 6824</w:t>
      </w:r>
      <w:r>
        <w:t xml:space="preserve"> </w:t>
      </w:r>
      <w:r>
        <w:t xml:space="preserve">for further</w:t>
      </w:r>
      <w:r>
        <w:t xml:space="preserve"> </w:t>
      </w:r>
      <w:r>
        <w:t xml:space="preserve">support.</w:t>
      </w:r>
    </w:p>
    <w:bookmarkEnd w:id="22"/>
    <w:bookmarkStart w:id="23" w:name="source-documents-included-in-this-folder"/>
    <w:p>
      <w:pPr>
        <w:pStyle w:val="Heading2"/>
      </w:pPr>
      <w:r>
        <w:t xml:space="preserve">Source documents (included in this folder)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ouch-uk-forms/hoof-part-a-non-rebreather--ouch-uk-may-2026.pdf</w:t>
      </w:r>
      <w:r>
        <w:t xml:space="preserve"> </w:t>
      </w:r>
      <w:r>
        <w:t xml:space="preserve">—</w:t>
      </w:r>
      <w:r>
        <w:t xml:space="preserve"> </w:t>
      </w:r>
      <w:r>
        <w:t xml:space="preserve">pre-completed HOOF Part A for short-burst high-flow oxygen.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ouch-uk-forms/hoof-part-a-demand-valve--ouch-uk-may-2026.pdf</w:t>
      </w:r>
      <w:r>
        <w:t xml:space="preserve"> </w:t>
      </w:r>
      <w:r>
        <w:t xml:space="preserve">—</w:t>
      </w:r>
      <w:r>
        <w:t xml:space="preserve"> </w:t>
      </w:r>
      <w:r>
        <w:t xml:space="preserve">pre-completed HOOF Part A for demand-valve oxygen.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ouch-uk-forms/ihorm-and-hocf--ouch-uk-may-2026.pdf</w:t>
      </w:r>
      <w:r>
        <w:t xml:space="preserve"> </w:t>
      </w:r>
      <w:r>
        <w:t xml:space="preserve">— combined</w:t>
      </w:r>
      <w:r>
        <w:t xml:space="preserve"> </w:t>
      </w:r>
      <w:r>
        <w:t xml:space="preserve">IHORM and HOCF.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ouch-uk-forms/info-for-gps-and-neurologists--ouch-uk-may-2026.pdf</w:t>
      </w:r>
      <w:r>
        <w:t xml:space="preserve"> </w:t>
      </w:r>
      <w:r>
        <w:t xml:space="preserve">— OUCH UK guidance leaflet for prescribers.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ouch-uk-forms/oxygen-for-cluster-headache-overview--ouch-uk-may-2026.pdf</w:t>
      </w:r>
      <w:r>
        <w:t xml:space="preserve"> </w:t>
      </w:r>
      <w:r>
        <w:t xml:space="preserve">— OUCH UK patient-facing one-page summary of the process.</w:t>
      </w:r>
    </w:p>
    <w:p>
      <w:pPr>
        <w:pStyle w:val="FirstParagraph"/>
      </w:pPr>
      <w:r>
        <w:t xml:space="preserve">All five PDFs were retrieved from</w:t>
      </w:r>
      <w:r>
        <w:t xml:space="preserve"> </w:t>
      </w:r>
      <w:hyperlink r:id="rId9">
        <w:r>
          <w:rPr>
            <w:rStyle w:val="Hyperlink"/>
          </w:rPr>
          <w:t xml:space="preserve">ouchuk.org/downloads</w:t>
        </w:r>
      </w:hyperlink>
      <w:r>
        <w:t xml:space="preserve"> </w:t>
      </w:r>
      <w:r>
        <w:t xml:space="preserve">in May 2026. If</w:t>
      </w:r>
      <w:r>
        <w:t xml:space="preserve"> </w:t>
      </w:r>
      <w:r>
        <w:t xml:space="preserve">OUCH UK has issued newer versions, prefer those.</w:t>
      </w:r>
    </w:p>
    <w:bookmarkEnd w:id="23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9" Target="https://ouchuk.org/downloads" TargetMode="External" /><Relationship Type="http://schemas.openxmlformats.org/officeDocument/2006/relationships/hyperlink" Id="rId15" Target="https://www.bochop.co.uk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9" Target="https://ouchuk.org/downloads" TargetMode="External" /><Relationship Type="http://schemas.openxmlformats.org/officeDocument/2006/relationships/hyperlink" Id="rId15" Target="https://www.bochop.co.uk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HOOF Part A, HOCF, and IHORM: a guide for cluster headache (England and Wales)</dc:title>
  <dc:creator/>
  <cp:keywords/>
  <dcterms:created xsi:type="dcterms:W3CDTF">2026-05-19T11:51:10Z</dcterms:created>
  <dcterms:modified xsi:type="dcterms:W3CDTF">2026-05-19T11:51:10Z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