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Evidence on high-flow oxygen for cluster headache</w:t>
      </w:r>
    </w:p>
    <w:bookmarkStart w:id="17" w:name="X8741a94415e129b49ebcab25809fd76dd3c3015"/>
    <w:p>
      <w:pPr>
        <w:pStyle w:val="Heading1"/>
      </w:pPr>
      <w:r>
        <w:t xml:space="preserve">Evidence on high-flow oxygen for cluster headache</w:t>
      </w:r>
    </w:p>
    <w:p>
      <w:pPr>
        <w:pStyle w:val="FirstParagraph"/>
      </w:pPr>
      <w:r>
        <w:t xml:space="preserve">A brief summary of the studies most often cited in support of high-flow</w:t>
      </w:r>
      <w:r>
        <w:t xml:space="preserve"> </w:t>
      </w:r>
      <w:r>
        <w:t xml:space="preserve">oxygen as a first-line acute treatment for cluster headache. Each entry</w:t>
      </w:r>
      <w:r>
        <w:t xml:space="preserve"> </w:t>
      </w:r>
      <w:r>
        <w:t xml:space="preserve">lists the citation, the key finding, and a link to the article. Where the</w:t>
      </w:r>
      <w:r>
        <w:t xml:space="preserve"> </w:t>
      </w:r>
      <w:r>
        <w:t xml:space="preserve">article is open-access, the full text is included in the</w:t>
      </w:r>
      <w:r>
        <w:t xml:space="preserve"> </w:t>
      </w:r>
      <w:r>
        <w:rPr>
          <w:rStyle w:val="VerbatimChar"/>
        </w:rPr>
        <w:t xml:space="preserve">full-text-articles/</w:t>
      </w:r>
      <w:r>
        <w:t xml:space="preserve"> </w:t>
      </w:r>
      <w:r>
        <w:t xml:space="preserve">subfolder.</w:t>
      </w:r>
    </w:p>
    <w:p>
      <w:pPr>
        <w:pStyle w:val="BodyText"/>
      </w:pPr>
      <w:r>
        <w:t xml:space="preserve">This is a reference document; the full original articles take precedence</w:t>
      </w:r>
      <w:r>
        <w:t xml:space="preserve"> </w:t>
      </w:r>
      <w:r>
        <w:t xml:space="preserve">over the summaries here.</w:t>
      </w:r>
    </w:p>
    <w:p>
      <w:r>
        <w:pict>
          <v:rect style="width:0;height:1.5pt" o:hralign="center" o:hrstd="t" o:hr="t"/>
        </w:pict>
      </w:r>
    </w:p>
    <w:bookmarkStart w:id="11" w:name="efficacy"/>
    <w:p>
      <w:pPr>
        <w:pStyle w:val="Heading2"/>
      </w:pPr>
      <w:r>
        <w:t xml:space="preserve">Efficacy</w:t>
      </w:r>
    </w:p>
    <w:p>
      <w:pPr>
        <w:pStyle w:val="FirstParagraph"/>
      </w:pPr>
      <w:r>
        <w:rPr>
          <w:b/>
          <w:bCs/>
        </w:rPr>
        <w:t xml:space="preserve">Cohen et al., 2009.</w:t>
      </w:r>
      <w:r>
        <w:t xml:space="preserve"> </w:t>
      </w:r>
      <w:r>
        <w:t xml:space="preserve">Randomised, double-blind, placebo-controlled</w:t>
      </w:r>
      <w:r>
        <w:t xml:space="preserve"> </w:t>
      </w:r>
      <w:r>
        <w:t xml:space="preserve">crossover trial. High-flow inhaled oxygen (100% at 12 L/min via</w:t>
      </w:r>
      <w:r>
        <w:t xml:space="preserve"> </w:t>
      </w:r>
      <w:r>
        <w:t xml:space="preserve">non-rebreather mask for 15 minutes) was compared with high-flow medical</w:t>
      </w:r>
      <w:r>
        <w:t xml:space="preserve"> </w:t>
      </w:r>
      <w:r>
        <w:t xml:space="preserve">air. Pain-free at 15 minutes in 78% of oxygen-treated attacks versus 20%</w:t>
      </w:r>
      <w:r>
        <w:t xml:space="preserve"> </w:t>
      </w:r>
      <w:r>
        <w:t xml:space="preserve">with air. JAMA, 2009.</w:t>
      </w:r>
      <w:r>
        <w:t xml:space="preserve"> </w:t>
      </w:r>
      <w:hyperlink r:id="rId9">
        <w:r>
          <w:rPr>
            <w:rStyle w:val="Hyperlink"/>
          </w:rPr>
          <w:t xml:space="preserve">https://jamanetwork.com/journals/jama/fullarticle/185035</w:t>
        </w:r>
      </w:hyperlink>
    </w:p>
    <w:p>
      <w:pPr>
        <w:pStyle w:val="BodyText"/>
      </w:pPr>
      <w:r>
        <w:rPr>
          <w:b/>
          <w:bCs/>
        </w:rPr>
        <w:t xml:space="preserve">Medrea et al., 2022.</w:t>
      </w:r>
      <w:r>
        <w:t xml:space="preserve"> </w:t>
      </w:r>
      <w:r>
        <w:t xml:space="preserve">Network meta-analysis of 13 randomised trials of</w:t>
      </w:r>
      <w:r>
        <w:t xml:space="preserve"> </w:t>
      </w:r>
      <w:r>
        <w:t xml:space="preserve">acute cluster headache treatments. High-flow oxygen ranked as the most</w:t>
      </w:r>
      <w:r>
        <w:t xml:space="preserve"> </w:t>
      </w:r>
      <w:r>
        <w:t xml:space="preserve">effective acute treatment for headache</w:t>
      </w:r>
      <w:r>
        <w:t xml:space="preserve"> </w:t>
      </w:r>
      <w:r>
        <w:t xml:space="preserve">response at 15 and 30 minutes (OR 9.0 vs placebo, 95% CrI 5.3–15.9), more</w:t>
      </w:r>
      <w:r>
        <w:t xml:space="preserve"> </w:t>
      </w:r>
      <w:r>
        <w:t xml:space="preserve">effective than low-flow oxygen (OR 2.55, 95% CrI 1.13–5.8), and without</w:t>
      </w:r>
      <w:r>
        <w:t xml:space="preserve"> </w:t>
      </w:r>
      <w:r>
        <w:t xml:space="preserve">the increased adverse-event signal seen with injectable sumatriptan and</w:t>
      </w:r>
      <w:r>
        <w:t xml:space="preserve"> </w:t>
      </w:r>
      <w:r>
        <w:t xml:space="preserve">octreotide. The review concludes:</w:t>
      </w:r>
      <w:r>
        <w:t xml:space="preserve"> </w:t>
      </w:r>
      <w:r>
        <w:rPr>
          <w:i/>
          <w:iCs/>
        </w:rPr>
        <w:t xml:space="preserve">“when low flow oxygen fails in patients</w:t>
      </w:r>
      <w:r>
        <w:rPr>
          <w:i/>
          <w:iCs/>
        </w:rPr>
        <w:t xml:space="preserve"> </w:t>
      </w:r>
      <w:r>
        <w:rPr>
          <w:i/>
          <w:iCs/>
        </w:rPr>
        <w:t xml:space="preserve">who can tolerate oxygen, increased flow rates should be tried.”</w:t>
      </w:r>
      <w:r>
        <w:t xml:space="preserve"> </w:t>
      </w:r>
      <w:r>
        <w:t xml:space="preserve">The Journal of Headache and Pain, 2022.</w:t>
      </w:r>
      <w:r>
        <w:t xml:space="preserve"> </w:t>
      </w:r>
      <w:hyperlink r:id="rId10">
        <w:r>
          <w:rPr>
            <w:rStyle w:val="Hyperlink"/>
          </w:rPr>
          <w:t xml:space="preserve">https://thejournalofheadacheandpain.biomedcentral.com/articles/10.1186/s10194-022-01403-1</w:t>
        </w:r>
      </w:hyperlink>
    </w:p>
    <w:bookmarkEnd w:id="11"/>
    <w:bookmarkStart w:id="14" w:name="demand-valve-oxygen-dvo"/>
    <w:p>
      <w:pPr>
        <w:pStyle w:val="Heading2"/>
      </w:pPr>
      <w:r>
        <w:t xml:space="preserve">Demand valve oxygen (DVO)</w:t>
      </w:r>
    </w:p>
    <w:p>
      <w:pPr>
        <w:pStyle w:val="FirstParagraph"/>
      </w:pPr>
      <w:r>
        <w:rPr>
          <w:b/>
          <w:bCs/>
        </w:rPr>
        <w:t xml:space="preserve">Rozen &amp; Fishman, 2013.</w:t>
      </w:r>
      <w:r>
        <w:t xml:space="preserve"> </w:t>
      </w:r>
      <w:r>
        <w:t xml:space="preserve">Small open-label pilot in chronic cluster</w:t>
      </w:r>
      <w:r>
        <w:t xml:space="preserve"> </w:t>
      </w:r>
      <w:r>
        <w:t xml:space="preserve">headache, n = 4. All four DVO-treated participants became pain-free</w:t>
      </w:r>
      <w:r>
        <w:t xml:space="preserve"> </w:t>
      </w:r>
      <w:r>
        <w:t xml:space="preserve">within 6–19 minutes (mean 12 minutes); no adverse events reported. The</w:t>
      </w:r>
      <w:r>
        <w:t xml:space="preserve"> </w:t>
      </w:r>
      <w:r>
        <w:t xml:space="preserve">protocol pairs DVO with an initial hyperventilation breathing technique.</w:t>
      </w:r>
      <w:r>
        <w:t xml:space="preserve"> </w:t>
      </w:r>
      <w:r>
        <w:t xml:space="preserve">Caveat: very small, open-label.</w:t>
      </w:r>
      <w:r>
        <w:t xml:space="preserve"> </w:t>
      </w:r>
      <w:r>
        <w:t xml:space="preserve">Pain Medicine, 2013.</w:t>
      </w:r>
      <w:r>
        <w:t xml:space="preserve"> </w:t>
      </w:r>
      <w:hyperlink r:id="rId12">
        <w:r>
          <w:rPr>
            <w:rStyle w:val="Hyperlink"/>
          </w:rPr>
          <w:t xml:space="preserve">https://doi.org/10.1111/pme.12055</w:t>
        </w:r>
      </w:hyperlink>
    </w:p>
    <w:p>
      <w:pPr>
        <w:pStyle w:val="BodyText"/>
      </w:pPr>
      <w:r>
        <w:rPr>
          <w:b/>
          <w:bCs/>
        </w:rPr>
        <w:t xml:space="preserve">Goadsby et al., 2025.</w:t>
      </w:r>
      <w:r>
        <w:t xml:space="preserve"> </w:t>
      </w:r>
      <w:r>
        <w:t xml:space="preserve">Patient-experience survey.</w:t>
      </w:r>
      <w:r>
        <w:t xml:space="preserve"> </w:t>
      </w:r>
      <w:r>
        <w:t xml:space="preserve">Mean time to complete abort: 11 minutes with DVO vs 36 minutes with</w:t>
      </w:r>
      <w:r>
        <w:t xml:space="preserve"> </w:t>
      </w:r>
      <w:r>
        <w:t xml:space="preserve">standard high-flow oxygen. Complete aborts in 89% of attacks with DVO vs</w:t>
      </w:r>
      <w:r>
        <w:t xml:space="preserve"> </w:t>
      </w:r>
      <w:r>
        <w:t xml:space="preserve">70% with standard high-flow oxygen. Not blinded or randomised, but a</w:t>
      </w:r>
      <w:r>
        <w:t xml:space="preserve"> </w:t>
      </w:r>
      <w:r>
        <w:t xml:space="preserve">large effect size. Cephalalgia, 2025.</w:t>
      </w:r>
      <w:r>
        <w:t xml:space="preserve"> </w:t>
      </w:r>
      <w:hyperlink r:id="rId13">
        <w:r>
          <w:rPr>
            <w:rStyle w:val="Hyperlink"/>
          </w:rPr>
          <w:t xml:space="preserve">https://journals.sagepub.com/doi/10.1177/25158163251339439</w:t>
        </w:r>
      </w:hyperlink>
    </w:p>
    <w:bookmarkEnd w:id="14"/>
    <w:bookmarkStart w:id="16" w:name="safety"/>
    <w:p>
      <w:pPr>
        <w:pStyle w:val="Heading2"/>
      </w:pPr>
      <w:r>
        <w:t xml:space="preserve">Safety</w:t>
      </w:r>
    </w:p>
    <w:p>
      <w:pPr>
        <w:pStyle w:val="FirstParagraph"/>
      </w:pPr>
      <w:r>
        <w:rPr>
          <w:b/>
          <w:bCs/>
        </w:rPr>
        <w:t xml:space="preserve">Mo et al., 2022.</w:t>
      </w:r>
      <w:r>
        <w:t xml:space="preserve"> </w:t>
      </w:r>
      <w:r>
        <w:t xml:space="preserve">Review of oxygen therapy safety in headache</w:t>
      </w:r>
      <w:r>
        <w:t xml:space="preserve"> </w:t>
      </w:r>
      <w:r>
        <w:t xml:space="preserve">disorders. Headache oxygen sessions are short (15–60 minutes) and carry</w:t>
      </w:r>
      <w:r>
        <w:t xml:space="preserve"> </w:t>
      </w:r>
      <w:r>
        <w:t xml:space="preserve">little oxygen-toxicity risk under one hour of use. The main practical</w:t>
      </w:r>
      <w:r>
        <w:t xml:space="preserve"> </w:t>
      </w:r>
      <w:r>
        <w:t xml:space="preserve">concerns are fire safety (especially around smoking and open flame) and</w:t>
      </w:r>
      <w:r>
        <w:t xml:space="preserve"> </w:t>
      </w:r>
      <w:r>
        <w:t xml:space="preserve">cylinder handling rather than physiological harm.</w:t>
      </w:r>
      <w:r>
        <w:t xml:space="preserve"> </w:t>
      </w:r>
      <w:r>
        <w:t xml:space="preserve">Current Pain and Headache Reports, 2022.</w:t>
      </w:r>
      <w:r>
        <w:t xml:space="preserve"> </w:t>
      </w:r>
      <w:hyperlink r:id="rId15">
        <w:r>
          <w:rPr>
            <w:rStyle w:val="Hyperlink"/>
          </w:rPr>
          <w:t xml:space="preserve">https://link.springer.com/article/10.1007/s11916-022-01066-2</w:t>
        </w:r>
      </w:hyperlink>
    </w:p>
    <w:p>
      <w:pPr>
        <w:pStyle w:val="BodyText"/>
      </w:pPr>
      <w:r>
        <w:rPr>
          <w:b/>
          <w:bCs/>
        </w:rPr>
        <w:t xml:space="preserve">Goadsby et al., 2025.</w:t>
      </w:r>
      <w:r>
        <w:t xml:space="preserve"> </w:t>
      </w:r>
      <w:r>
        <w:t xml:space="preserve">Fire-risk notes.</w:t>
      </w:r>
      <w:r>
        <w:t xml:space="preserve"> </w:t>
      </w:r>
      <w:r>
        <w:t xml:space="preserve">DVO may reduce oxygen waste and leakage because flow occurs only during</w:t>
      </w:r>
      <w:r>
        <w:t xml:space="preserve"> </w:t>
      </w:r>
      <w:r>
        <w:t xml:space="preserve">inhalation, which plausibly reduces oxygen-enrichment of the surrounding</w:t>
      </w:r>
      <w:r>
        <w:t xml:space="preserve"> </w:t>
      </w:r>
      <w:r>
        <w:t xml:space="preserve">air and fire risk relative to continuous flow.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2" Target="https://doi.org/10.1111/pme.12055" TargetMode="External" /><Relationship Type="http://schemas.openxmlformats.org/officeDocument/2006/relationships/hyperlink" Id="rId9" Target="https://jamanetwork.com/journals/jama/fullarticle/185035" TargetMode="External" /><Relationship Type="http://schemas.openxmlformats.org/officeDocument/2006/relationships/hyperlink" Id="rId13" Target="https://journals.sagepub.com/doi/10.1177/25158163251339439" TargetMode="External" /><Relationship Type="http://schemas.openxmlformats.org/officeDocument/2006/relationships/hyperlink" Id="rId15" Target="https://link.springer.com/article/10.1007/s11916-022-01066-2" TargetMode="External" /><Relationship Type="http://schemas.openxmlformats.org/officeDocument/2006/relationships/hyperlink" Id="rId10" Target="https://thejournalofheadacheandpain.biomedcentral.com/articles/10.1186/s10194-022-01403-1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2" Target="https://doi.org/10.1111/pme.12055" TargetMode="External" /><Relationship Type="http://schemas.openxmlformats.org/officeDocument/2006/relationships/hyperlink" Id="rId9" Target="https://jamanetwork.com/journals/jama/fullarticle/185035" TargetMode="External" /><Relationship Type="http://schemas.openxmlformats.org/officeDocument/2006/relationships/hyperlink" Id="rId13" Target="https://journals.sagepub.com/doi/10.1177/25158163251339439" TargetMode="External" /><Relationship Type="http://schemas.openxmlformats.org/officeDocument/2006/relationships/hyperlink" Id="rId15" Target="https://link.springer.com/article/10.1007/s11916-022-01066-2" TargetMode="External" /><Relationship Type="http://schemas.openxmlformats.org/officeDocument/2006/relationships/hyperlink" Id="rId10" Target="https://thejournalofheadacheandpain.biomedcentral.com/articles/10.1186/s10194-022-01403-1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Evidence on high-flow oxygen for cluster headache</dc:title>
  <dc:creator/>
  <cp:keywords/>
  <dcterms:created xsi:type="dcterms:W3CDTF">2026-05-19T11:51:10Z</dcterms:created>
  <dcterms:modified xsi:type="dcterms:W3CDTF">2026-05-19T11:51:10Z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