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le"/>
      </w:pPr>
      <w:r>
        <w:t xml:space="preserve">Guidelines on oxygen for cluster headache: UK edition</w:t>
      </w:r>
    </w:p>
    <w:bookmarkStart w:id="17" w:name="X49c46a79da69ee01ced9023606e544e3ac07d3b"/>
    <w:p>
      <w:pPr>
        <w:pStyle w:val="Heading1"/>
      </w:pPr>
      <w:r>
        <w:t xml:space="preserve">Guidelines on oxygen for cluster headache</w:t>
      </w:r>
    </w:p>
    <w:p>
      <w:pPr>
        <w:pStyle w:val="FirstParagraph"/>
      </w:pPr>
      <w:r>
        <w:t xml:space="preserve">A one-page summary of the guidelines that recommend high-flow oxygen as</w:t>
      </w:r>
      <w:r>
        <w:t xml:space="preserve"> </w:t>
      </w:r>
      <w:r>
        <w:t xml:space="preserve">first-line acute therapy for cluster headache, with emphasis on the UK</w:t>
      </w:r>
      <w:r>
        <w:t xml:space="preserve"> </w:t>
      </w:r>
      <w:r>
        <w:t xml:space="preserve">pathway.</w:t>
      </w:r>
    </w:p>
    <w:bookmarkStart w:id="9" w:name="nice-cg150-uk"/>
    <w:p>
      <w:pPr>
        <w:pStyle w:val="Heading2"/>
      </w:pPr>
      <w:r>
        <w:t xml:space="preserve">NICE CG150 (UK)</w:t>
      </w:r>
    </w:p>
    <w:p>
      <w:pPr>
        <w:pStyle w:val="FirstParagraph"/>
      </w:pPr>
      <w:r>
        <w:t xml:space="preserve">NICE Clinical Guideline 150 (</w:t>
      </w:r>
      <w:r>
        <w:rPr>
          <w:i/>
          <w:iCs/>
        </w:rPr>
        <w:t xml:space="preserve">Headaches in over 12s: diagnosis and</w:t>
      </w:r>
      <w:r>
        <w:rPr>
          <w:i/>
          <w:iCs/>
        </w:rPr>
        <w:t xml:space="preserve"> </w:t>
      </w:r>
      <w:r>
        <w:rPr>
          <w:i/>
          <w:iCs/>
        </w:rPr>
        <w:t xml:space="preserve">management</w:t>
      </w:r>
      <w:r>
        <w:t xml:space="preserve">) recognises</w:t>
      </w:r>
      <w:r>
        <w:t xml:space="preserve"> </w:t>
      </w:r>
      <w:r>
        <w:rPr>
          <w:b/>
          <w:bCs/>
        </w:rPr>
        <w:t xml:space="preserve">100% oxygen as a first-line acute treatment</w:t>
      </w:r>
      <w:r>
        <w:rPr>
          <w:b/>
          <w:bCs/>
        </w:rPr>
        <w:t xml:space="preserve"> </w:t>
      </w:r>
      <w:r>
        <w:rPr>
          <w:b/>
          <w:bCs/>
        </w:rPr>
        <w:t xml:space="preserve">for cluster headache</w:t>
      </w:r>
      <w:r>
        <w:t xml:space="preserve">:</w:t>
      </w:r>
    </w:p>
    <w:p>
      <w:pPr>
        <w:pStyle w:val="BlockText"/>
      </w:pPr>
      <w:r>
        <w:t xml:space="preserve">“Offer oxygen and/or a subcutaneous or nasal triptan for the acute</w:t>
      </w:r>
      <w:r>
        <w:t xml:space="preserve"> </w:t>
      </w:r>
      <w:r>
        <w:t xml:space="preserve">treatment of cluster headache.”</w:t>
      </w:r>
    </w:p>
    <w:p>
      <w:pPr>
        <w:pStyle w:val="BlockText"/>
      </w:pPr>
      <w:r>
        <w:t xml:space="preserve">“Use 100% oxygen at a flow rate of at least 12 litres per minute with</w:t>
      </w:r>
      <w:r>
        <w:t xml:space="preserve"> </w:t>
      </w:r>
      <w:r>
        <w:t xml:space="preserve">a non‑rebreathing mask and a reservoir bag, and arrange provision of</w:t>
      </w:r>
      <w:r>
        <w:t xml:space="preserve"> </w:t>
      </w:r>
      <w:r>
        <w:t xml:space="preserve">home and ambulatory oxygen.”</w:t>
      </w:r>
    </w:p>
    <w:bookmarkEnd w:id="9"/>
    <w:bookmarkStart w:id="11" w:name="X53d40049a10b06743d648c1dbb2ebf71764e131"/>
    <w:p>
      <w:pPr>
        <w:pStyle w:val="Heading2"/>
      </w:pPr>
      <w:r>
        <w:t xml:space="preserve">NHS Scotland: Right Decisions for cluster headache</w:t>
      </w:r>
    </w:p>
    <w:p>
      <w:pPr>
        <w:pStyle w:val="FirstParagraph"/>
      </w:pPr>
      <w:r>
        <w:t xml:space="preserve">The NHS Scotland</w:t>
      </w:r>
      <w:r>
        <w:t xml:space="preserve"> </w:t>
      </w:r>
      <w:r>
        <w:rPr>
          <w:i/>
          <w:iCs/>
        </w:rPr>
        <w:t xml:space="preserve">Right Decisions</w:t>
      </w:r>
      <w:r>
        <w:t xml:space="preserve"> </w:t>
      </w:r>
      <w:r>
        <w:t xml:space="preserve">cluster headache guidance is the</w:t>
      </w:r>
      <w:r>
        <w:t xml:space="preserve"> </w:t>
      </w:r>
      <w:r>
        <w:t xml:space="preserve">most patient-friendly UK guideline. Key points:</w:t>
      </w:r>
    </w:p>
    <w:p>
      <w:pPr>
        <w:pStyle w:val="Compact"/>
        <w:numPr>
          <w:ilvl w:val="0"/>
          <w:numId w:val="1001"/>
        </w:numPr>
      </w:pPr>
      <w:r>
        <w:t xml:space="preserve">100% oxygen at</w:t>
      </w:r>
      <w:r>
        <w:t xml:space="preserve"> </w:t>
      </w:r>
      <w:r>
        <w:rPr>
          <w:b/>
          <w:bCs/>
        </w:rPr>
        <w:t xml:space="preserve">10–15 L/min for 15–20 minutes</w:t>
      </w:r>
      <w:r>
        <w:t xml:space="preserve"> </w:t>
      </w:r>
      <w:r>
        <w:t xml:space="preserve">via non-rebreather</w:t>
      </w:r>
      <w:r>
        <w:t xml:space="preserve"> </w:t>
      </w:r>
      <w:r>
        <w:t xml:space="preserve">mask.</w:t>
      </w:r>
    </w:p>
    <w:p>
      <w:pPr>
        <w:pStyle w:val="Compact"/>
        <w:numPr>
          <w:ilvl w:val="0"/>
          <w:numId w:val="1001"/>
        </w:numPr>
      </w:pPr>
      <w:r>
        <w:rPr>
          <w:b/>
          <w:bCs/>
        </w:rPr>
        <w:t xml:space="preserve">No maximum use limit</w:t>
      </w:r>
      <w:r>
        <w:t xml:space="preserve"> </w:t>
      </w:r>
      <w:r>
        <w:t xml:space="preserve">is specified.</w:t>
      </w:r>
    </w:p>
    <w:p>
      <w:pPr>
        <w:pStyle w:val="Compact"/>
        <w:numPr>
          <w:ilvl w:val="0"/>
          <w:numId w:val="1001"/>
        </w:numPr>
      </w:pPr>
      <w:r>
        <w:t xml:space="preserve">An</w:t>
      </w:r>
      <w:r>
        <w:t xml:space="preserve"> </w:t>
      </w:r>
      <w:r>
        <w:rPr>
          <w:b/>
          <w:bCs/>
        </w:rPr>
        <w:t xml:space="preserve">on-demand valve is available on request</w:t>
      </w:r>
      <w:r>
        <w:t xml:space="preserve"> </w:t>
      </w:r>
      <w:r>
        <w:t xml:space="preserve">for patients who do</w:t>
      </w:r>
      <w:r>
        <w:t xml:space="preserve"> </w:t>
      </w:r>
      <w:r>
        <w:t xml:space="preserve">not tolerate a non-rebreather mask.</w:t>
      </w:r>
    </w:p>
    <w:p>
      <w:pPr>
        <w:pStyle w:val="FirstParagraph"/>
      </w:pPr>
      <w:hyperlink r:id="rId10">
        <w:r>
          <w:rPr>
            <w:rStyle w:val="Hyperlink"/>
          </w:rPr>
          <w:t xml:space="preserve">https://www.rightdecisions.scot.nhs.uk/neurology-pathways/headache/9-cluster-headache-guidance/</w:t>
        </w:r>
      </w:hyperlink>
    </w:p>
    <w:bookmarkEnd w:id="11"/>
    <w:bookmarkStart w:id="12" w:name="european-academy-of-neurology-ean"/>
    <w:p>
      <w:pPr>
        <w:pStyle w:val="Heading2"/>
      </w:pPr>
      <w:r>
        <w:t xml:space="preserve">European Academy of Neurology (EAN)</w:t>
      </w:r>
    </w:p>
    <w:p>
      <w:pPr>
        <w:pStyle w:val="BlockText"/>
      </w:pPr>
      <w:r>
        <w:t xml:space="preserve">“The first option for the treatment of acute attacks of cluster</w:t>
      </w:r>
      <w:r>
        <w:t xml:space="preserve"> </w:t>
      </w:r>
      <w:r>
        <w:t xml:space="preserve">headache should be subcutaneous injection of sumatriptan 6 mg or the</w:t>
      </w:r>
      <w:r>
        <w:t xml:space="preserve"> </w:t>
      </w:r>
      <w:r>
        <w:t xml:space="preserve">inhalation of 100% oxygen with at least 12 L/min over 15 min.”</w:t>
      </w:r>
    </w:p>
    <w:bookmarkEnd w:id="12"/>
    <w:bookmarkStart w:id="13" w:name="X79677b1efd96d3e7f1f5b9a90755574bab87c0d"/>
    <w:p>
      <w:pPr>
        <w:pStyle w:val="Heading2"/>
      </w:pPr>
      <w:r>
        <w:t xml:space="preserve">American Headache Society (AHS), for cross-reference</w:t>
      </w:r>
    </w:p>
    <w:p>
      <w:pPr>
        <w:pStyle w:val="FirstParagraph"/>
      </w:pPr>
      <w:r>
        <w:t xml:space="preserve">High-flow oxygen (6–12 L/min via non-rebreather mask) is classified as</w:t>
      </w:r>
      <w:r>
        <w:t xml:space="preserve"> </w:t>
      </w:r>
      <w:r>
        <w:t xml:space="preserve">a</w:t>
      </w:r>
      <w:r>
        <w:t xml:space="preserve"> </w:t>
      </w:r>
      <w:r>
        <w:rPr>
          <w:b/>
          <w:bCs/>
        </w:rPr>
        <w:t xml:space="preserve">level A acute treatment</w:t>
      </w:r>
      <w:r>
        <w:t xml:space="preserve">.</w:t>
      </w:r>
    </w:p>
    <w:bookmarkEnd w:id="13"/>
    <w:bookmarkStart w:id="14" w:name="uk-prescribing-pathway"/>
    <w:p>
      <w:pPr>
        <w:pStyle w:val="Heading2"/>
      </w:pPr>
      <w:r>
        <w:t xml:space="preserve">UK prescribing pathway</w:t>
      </w:r>
    </w:p>
    <w:p>
      <w:pPr>
        <w:pStyle w:val="Compact"/>
        <w:numPr>
          <w:ilvl w:val="0"/>
          <w:numId w:val="1002"/>
        </w:numPr>
      </w:pPr>
      <w:r>
        <w:rPr>
          <w:b/>
          <w:bCs/>
        </w:rPr>
        <w:t xml:space="preserve">England and Wales.</w:t>
      </w:r>
      <w:r>
        <w:t xml:space="preserve"> </w:t>
      </w:r>
      <w:r>
        <w:t xml:space="preserve">Prescriptions are processed via the</w:t>
      </w:r>
      <w:r>
        <w:t xml:space="preserve"> </w:t>
      </w:r>
      <w:r>
        <w:rPr>
          <w:b/>
          <w:bCs/>
        </w:rPr>
        <w:t xml:space="preserve">Home</w:t>
      </w:r>
      <w:r>
        <w:rPr>
          <w:b/>
          <w:bCs/>
        </w:rPr>
        <w:t xml:space="preserve"> </w:t>
      </w:r>
      <w:r>
        <w:rPr>
          <w:b/>
          <w:bCs/>
        </w:rPr>
        <w:t xml:space="preserve">Oxygen Order Form (HOOF) Part A</w:t>
      </w:r>
      <w:r>
        <w:t xml:space="preserve"> </w:t>
      </w:r>
      <w:r>
        <w:t xml:space="preserve">with</w:t>
      </w:r>
      <w:r>
        <w:t xml:space="preserve"> </w:t>
      </w:r>
      <w:r>
        <w:rPr>
          <w:b/>
          <w:bCs/>
        </w:rPr>
        <w:t xml:space="preserve">Primary Clinical Code 18</w:t>
      </w:r>
      <w:r>
        <w:t xml:space="preserve"> </w:t>
      </w:r>
      <w:r>
        <w:t xml:space="preserve">for cluster headache. The</w:t>
      </w:r>
      <w:r>
        <w:t xml:space="preserve"> </w:t>
      </w:r>
      <w:r>
        <w:rPr>
          <w:b/>
          <w:bCs/>
        </w:rPr>
        <w:t xml:space="preserve">Home Oxygen Consent Form (HOCF)</w:t>
      </w:r>
      <w:r>
        <w:t xml:space="preserve"> </w:t>
      </w:r>
      <w:r>
        <w:t xml:space="preserve">and</w:t>
      </w:r>
      <w:r>
        <w:t xml:space="preserve"> </w:t>
      </w:r>
      <w:r>
        <w:rPr>
          <w:b/>
          <w:bCs/>
        </w:rPr>
        <w:t xml:space="preserve">Initial Home Oxygen Risk Mitigation Form (IHORM)</w:t>
      </w:r>
      <w:r>
        <w:t xml:space="preserve"> </w:t>
      </w:r>
      <w:r>
        <w:t xml:space="preserve">must also be</w:t>
      </w:r>
      <w:r>
        <w:t xml:space="preserve"> </w:t>
      </w:r>
      <w:r>
        <w:t xml:space="preserve">completed. See</w:t>
      </w:r>
      <w:r>
        <w:t xml:space="preserve"> </w:t>
      </w:r>
      <w:r>
        <w:rPr>
          <w:rStyle w:val="VerbatimChar"/>
        </w:rPr>
        <w:t xml:space="preserve">05-hoof-part-a-guide.docx</w:t>
      </w:r>
      <w:r>
        <w:t xml:space="preserve"> </w:t>
      </w:r>
      <w:r>
        <w:t xml:space="preserve">for details.</w:t>
      </w:r>
    </w:p>
    <w:p>
      <w:pPr>
        <w:pStyle w:val="Compact"/>
        <w:numPr>
          <w:ilvl w:val="0"/>
          <w:numId w:val="1002"/>
        </w:numPr>
      </w:pPr>
      <w:r>
        <w:rPr>
          <w:b/>
          <w:bCs/>
        </w:rPr>
        <w:t xml:space="preserve">Scotland and Northern Ireland.</w:t>
      </w:r>
      <w:r>
        <w:t xml:space="preserve"> </w:t>
      </w:r>
      <w:r>
        <w:t xml:space="preserve">Oxygen for cluster headache</w:t>
      </w:r>
      <w:r>
        <w:t xml:space="preserve"> </w:t>
      </w:r>
      <w:r>
        <w:t xml:space="preserve">generally needs a secondary-care clinician or consultant under the</w:t>
      </w:r>
      <w:r>
        <w:t xml:space="preserve"> </w:t>
      </w:r>
      <w:r>
        <w:t xml:space="preserve">local pathway. See</w:t>
      </w:r>
      <w:r>
        <w:t xml:space="preserve"> </w:t>
      </w:r>
      <w:r>
        <w:rPr>
          <w:rStyle w:val="VerbatimChar"/>
        </w:rPr>
        <w:t xml:space="preserve">06-nhs-scotland-right-decisions-excerpt.docx</w:t>
      </w:r>
      <w:r>
        <w:t xml:space="preserve">.</w:t>
      </w:r>
    </w:p>
    <w:bookmarkEnd w:id="14"/>
    <w:bookmarkStart w:id="16" w:name="patient-organisations"/>
    <w:p>
      <w:pPr>
        <w:pStyle w:val="Heading2"/>
      </w:pPr>
      <w:r>
        <w:t xml:space="preserve">Patient organisations</w:t>
      </w:r>
    </w:p>
    <w:p>
      <w:pPr>
        <w:pStyle w:val="Compact"/>
        <w:numPr>
          <w:ilvl w:val="0"/>
          <w:numId w:val="1003"/>
        </w:numPr>
      </w:pPr>
      <w:r>
        <w:rPr>
          <w:b/>
          <w:bCs/>
        </w:rPr>
        <w:t xml:space="preserve">OUCH UK</w:t>
      </w:r>
      <w:r>
        <w:t xml:space="preserve"> </w:t>
      </w:r>
      <w:r>
        <w:t xml:space="preserve">publishes</w:t>
      </w:r>
      <w:r>
        <w:t xml:space="preserve"> </w:t>
      </w:r>
      <w:r>
        <w:t xml:space="preserve">“Oxygen information for GPs and neurologists”</w:t>
      </w:r>
      <w:r>
        <w:t xml:space="preserve"> </w:t>
      </w:r>
      <w:r>
        <w:t xml:space="preserve">and maintains a list of UK specialists.</w:t>
      </w:r>
      <w:r>
        <w:t xml:space="preserve"> </w:t>
      </w:r>
      <w:hyperlink r:id="rId15">
        <w:r>
          <w:rPr>
            <w:rStyle w:val="Hyperlink"/>
          </w:rPr>
          <w:t xml:space="preserve">https://ouchuk.org/</w:t>
        </w:r>
      </w:hyperlink>
    </w:p>
    <w:bookmarkEnd w:id="16"/>
    <w:bookmarkEnd w:id="17"/>
    <w:sectPr>
      <w:footnotePr>
        <w:numRestart w:val="eachSect"/>
      </w:footnotePr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proofState w:grammar="clean" w:spelling="clean"/>
  <w:stylePaneFormatFilter w:val="0004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zh-CN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qFormat/>
    <w:pPr>
      <w:spacing w:after="180" w:before="180"/>
    </w:pPr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link w:val="TitleChar"/>
    <w:uiPriority w:val="10"/>
    <w:qFormat/>
    <w:rsid w:val="00A10FD9"/>
    <w:pPr>
      <w:spacing w:after="80" w:line="240" w:lineRule="auto"/>
      <w:contextualSpacing/>
      <w:jc w:val="center"/>
    </w:pPr>
    <w:rPr>
      <w:rFonts w:asciiTheme="majorHAnsi" w:cstheme="majorBidi" w:eastAsiaTheme="majorEastAsia" w:hAnsiTheme="majorHAnsi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A10FD9"/>
    <w:rPr>
      <w:rFonts w:asciiTheme="majorHAnsi" w:cstheme="majorBidi" w:eastAsiaTheme="majorEastAsia" w:hAnsiTheme="majorHAnsi"/>
      <w:sz w:val="56"/>
      <w:szCs w:val="56"/>
    </w:rPr>
  </w:style>
  <w:style w:styleId="Subtitle" w:type="paragraph">
    <w:name w:val="Subtitle"/>
    <w:basedOn w:val="Title"/>
    <w:next w:val="BodyText"/>
    <w:link w:val="SubtitleChar"/>
    <w:uiPriority w:val="11"/>
    <w:qFormat/>
    <w:rsid w:val="00A10FD9"/>
    <w:pPr>
      <w:numPr>
        <w:ilvl w:val="1"/>
      </w:numPr>
    </w:pPr>
    <w:rPr>
      <w:rFonts w:cstheme="majorBidi" w:eastAsiaTheme="majorEastAsia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A10FD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uthor" w:type="paragraph">
    <w:name w:val="Author"/>
    <w:basedOn w:val="Title"/>
    <w:next w:val="BodyText"/>
    <w:qFormat/>
    <w:pPr>
      <w:keepNext/>
      <w:keepLines/>
    </w:pPr>
    <w:rPr>
      <w:sz w:val="24"/>
      <w:szCs w:val="24"/>
    </w:rPr>
  </w:style>
  <w:style w:styleId="Date" w:type="paragraph">
    <w:name w:val="Date"/>
    <w:basedOn w:val="Title"/>
    <w:next w:val="BodyText"/>
    <w:qFormat/>
    <w:pPr>
      <w:keepNext/>
      <w:keepLines/>
    </w:pPr>
    <w:rPr>
      <w:sz w:val="24"/>
      <w:szCs w:val="24"/>
    </w:rPr>
  </w:style>
  <w:style w:customStyle="1" w:styleId="AbstractTitle" w:type="paragraph">
    <w:name w:val="Abstract Title"/>
    <w:basedOn w:val="Normal"/>
    <w:next w:val="Abstract"/>
    <w:qFormat/>
    <w:pPr>
      <w:keepNext/>
      <w:keepLines/>
      <w:spacing w:after="0" w:before="300"/>
      <w:jc w:val="center"/>
    </w:pPr>
    <w:rPr>
      <w:b/>
      <w:sz w:val="20"/>
      <w:szCs w:val="20"/>
    </w:r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1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link w:val="Heading1Char"/>
    <w:uiPriority w:val="9"/>
    <w:qFormat/>
    <w:rsid w:val="00A10FD9"/>
    <w:pPr>
      <w:keepNext/>
      <w:keepLines/>
      <w:spacing w:after="80" w:before="360"/>
      <w:outlineLvl w:val="0"/>
    </w:pPr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styleId="Heading2" w:type="paragraph">
    <w:name w:val="heading 2"/>
    <w:basedOn w:val="Normal"/>
    <w:next w:val="BodyText"/>
    <w:link w:val="Heading2Char"/>
    <w:uiPriority w:val="9"/>
    <w:semiHidden/>
    <w:unhideWhenUsed/>
    <w:qFormat/>
    <w:rsid w:val="00A10FD9"/>
    <w:pPr>
      <w:keepNext/>
      <w:keepLines/>
      <w:spacing w:after="80" w:before="160"/>
      <w:outlineLvl w:val="1"/>
    </w:pPr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styleId="Heading3" w:type="paragraph">
    <w:name w:val="heading 3"/>
    <w:basedOn w:val="Normal"/>
    <w:next w:val="BodyText"/>
    <w:link w:val="Heading3Char"/>
    <w:uiPriority w:val="9"/>
    <w:semiHidden/>
    <w:unhideWhenUsed/>
    <w:qFormat/>
    <w:rsid w:val="00A10FD9"/>
    <w:pPr>
      <w:keepNext/>
      <w:keepLines/>
      <w:spacing w:after="80" w:before="160"/>
      <w:outlineLvl w:val="2"/>
    </w:pPr>
    <w:rPr>
      <w:rFonts w:cstheme="majorBidi" w:eastAsiaTheme="majorEastAsia"/>
      <w:color w:themeColor="accent1" w:themeShade="BF" w:val="0F4761"/>
      <w:sz w:val="28"/>
      <w:szCs w:val="28"/>
    </w:rPr>
  </w:style>
  <w:style w:styleId="Heading4" w:type="paragraph">
    <w:name w:val="heading 4"/>
    <w:basedOn w:val="Normal"/>
    <w:next w:val="BodyText"/>
    <w:link w:val="Heading4Char"/>
    <w:uiPriority w:val="9"/>
    <w:semiHidden/>
    <w:unhideWhenUsed/>
    <w:qFormat/>
    <w:rsid w:val="00A10FD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BodyText"/>
    <w:link w:val="Heading5Char"/>
    <w:uiPriority w:val="9"/>
    <w:semiHidden/>
    <w:unhideWhenUsed/>
    <w:qFormat/>
    <w:rsid w:val="00A10FD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BodyText"/>
    <w:link w:val="Heading6Char"/>
    <w:uiPriority w:val="9"/>
    <w:semiHidden/>
    <w:unhideWhenUsed/>
    <w:qFormat/>
    <w:rsid w:val="00A10FD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BodyText"/>
    <w:link w:val="Heading7Char"/>
    <w:uiPriority w:val="9"/>
    <w:semiHidden/>
    <w:unhideWhenUsed/>
    <w:qFormat/>
    <w:rsid w:val="00A10FD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BodyText"/>
    <w:link w:val="Heading8Char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BodyText"/>
    <w:link w:val="Heading9Char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customStyle="1" w:styleId="Heading1Char" w:type="character">
    <w:name w:val="Heading 1 Char"/>
    <w:basedOn w:val="DefaultParagraphFont"/>
    <w:link w:val="Heading1"/>
    <w:uiPriority w:val="9"/>
    <w:rsid w:val="00A10FD9"/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semiHidden/>
    <w:rsid w:val="00A10FD9"/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semiHidden/>
    <w:rsid w:val="00A10FD9"/>
    <w:rPr>
      <w:rFonts w:cstheme="majorBidi" w:eastAsiaTheme="majorEastAsia"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A10FD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A10FD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A10FD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A10FD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A10FD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A10FD9"/>
    <w:rPr>
      <w:rFonts w:cstheme="majorBidi" w:eastAsiaTheme="majorEastAsia"/>
      <w:color w:themeColor="text1" w:themeTint="D8" w:val="272727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styleId="FootnoteBlockText" w:type="paragraph">
    <w:name w:val="Footnote Block Text"/>
    <w:basedOn w:val="FootnoteText"/>
    <w:next w:val="FootnoteText"/>
    <w:uiPriority w:val="9"/>
    <w:unhideWhenUsed/>
    <w:qFormat/>
    <w:pPr>
      <w:spacing w:after="100" w:before="100"/>
      <w:ind w:firstLine="0" w:left="480" w:right="480"/>
    </w:pPr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cPr>
        <w:tcBorders>
          <w:bottom w:val="single"/>
        </w:tcBorders>
        <w:vAlign w:val="bottom"/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8" Target="numbering.xml" /><Relationship Type="http://schemas.openxmlformats.org/officeDocument/2006/relationships/styles" Id="rId7" Target="styles.xml" /><Relationship Type="http://schemas.openxmlformats.org/officeDocument/2006/relationships/settings" Id="rId6" Target="settings.xml" /><Relationship Type="http://schemas.openxmlformats.org/officeDocument/2006/relationships/webSettings" Id="rId5" Target="webSettings.xml" /><Relationship Type="http://schemas.openxmlformats.org/officeDocument/2006/relationships/fontTable" Id="rId4" Target="fontTable.xml" /><Relationship Type="http://schemas.openxmlformats.org/officeDocument/2006/relationships/theme" Id="rId3" Target="theme/theme1.xml" /><Relationship Type="http://schemas.openxmlformats.org/officeDocument/2006/relationships/footnotes" Id="rId2" Target="footnotes.xml" /><Relationship Type="http://schemas.openxmlformats.org/officeDocument/2006/relationships/comments" Id="rId1" Target="comments.xml" /><Relationship Type="http://schemas.openxmlformats.org/officeDocument/2006/relationships/hyperlink" Id="rId15" Target="https://ouchuk.org/" TargetMode="External" /><Relationship Type="http://schemas.openxmlformats.org/officeDocument/2006/relationships/hyperlink" Id="rId10" Target="https://www.rightdecisions.scot.nhs.uk/neurology-pathways/headache/9-cluster-headache-guidance/" TargetMode="External" /></Relationships>
</file>

<file path=word/_rels/footnotes.xml.rels><?xml version="1.0" encoding="UTF-8"?><Relationships xmlns="http://schemas.openxmlformats.org/package/2006/relationships"><Relationship Type="http://schemas.openxmlformats.org/officeDocument/2006/relationships/hyperlink" Id="rId15" Target="https://ouchuk.org/" TargetMode="External" /><Relationship Type="http://schemas.openxmlformats.org/officeDocument/2006/relationships/hyperlink" Id="rId10" Target="https://www.rightdecisions.scot.nhs.uk/neurology-pathways/headache/9-cluster-headache-guidance/" TargetMode="Externa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Guidelines on oxygen for cluster headache: UK edition</dc:title>
  <dc:creator/>
  <cp:keywords/>
  <dcterms:created xsi:type="dcterms:W3CDTF">2026-05-19T11:51:10Z</dcterms:created>
  <dcterms:modified xsi:type="dcterms:W3CDTF">2026-05-19T11:51:10Z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