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Full-text articles</w:t>
      </w:r>
    </w:p>
    <w:bookmarkStart w:id="9" w:name="full-text-articles"/>
    <w:p>
      <w:pPr>
        <w:pStyle w:val="Heading1"/>
      </w:pPr>
      <w:r>
        <w:t xml:space="preserve">Full-text articles</w:t>
      </w:r>
    </w:p>
    <w:p>
      <w:pPr>
        <w:pStyle w:val="FirstParagraph"/>
      </w:pPr>
      <w:r>
        <w:t xml:space="preserve">This folder collects the full-text PDFs of the studies summarised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. Refer to the original articles for the definitive</w:t>
      </w:r>
      <w:r>
        <w:t xml:space="preserve"> </w:t>
      </w:r>
      <w:r>
        <w:t xml:space="preserve">findings; the summaries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 </w:t>
      </w:r>
      <w:r>
        <w:t xml:space="preserve">are abridged.</w:t>
      </w:r>
    </w:p>
    <w:p>
      <w:pPr>
        <w:pStyle w:val="BodyText"/>
      </w:pPr>
      <w:r>
        <w:t xml:space="preserve">Included: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High-flow oxygen RCT.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Network meta-analysis of acute cluster headache treatments.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Oxygen therapy review in cluster headache, migraine, and other headache disorders.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Demand valve oxygen pilot study.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DVO vs standard high-flow patient-experience survey.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Practical prescribing guide.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Full-text articles</dc:title>
  <dc:creator/>
  <cp:keywords/>
  <dcterms:created xsi:type="dcterms:W3CDTF">2026-05-19T11:51:09Z</dcterms:created>
  <dcterms:modified xsi:type="dcterms:W3CDTF">2026-05-19T11:51:09Z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