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Oxygen folder: rest of the world edition</w:t>
      </w:r>
    </w:p>
    <w:bookmarkStart w:id="13" w:name="oxygen-folder-rest-of-the-world-edition"/>
    <w:p>
      <w:pPr>
        <w:pStyle w:val="Heading1"/>
      </w:pPr>
      <w:r>
        <w:t xml:space="preserve">Oxygen folder: rest of the world edition</w:t>
      </w:r>
    </w:p>
    <w:p>
      <w:pPr>
        <w:pStyle w:val="FirstParagraph"/>
      </w:pPr>
      <w:r>
        <w:t xml:space="preserve">This folder is designed to help you obtain a prescription for high-flow</w:t>
      </w:r>
      <w:r>
        <w:t xml:space="preserve"> </w:t>
      </w:r>
      <w:r>
        <w:t xml:space="preserve">oxygen therapy for cluster headache outside the US and UK. It uses</w:t>
      </w:r>
      <w:r>
        <w:t xml:space="preserve"> </w:t>
      </w:r>
      <w:r>
        <w:t xml:space="preserve">neutral, internationally applicable wording and refers to the European</w:t>
      </w:r>
      <w:r>
        <w:t xml:space="preserve"> </w:t>
      </w:r>
      <w:r>
        <w:t xml:space="preserve">Academy of Neurology and American Headache Society guidelines, which</w:t>
      </w:r>
      <w:r>
        <w:t xml:space="preserve"> </w:t>
      </w:r>
      <w:r>
        <w:t xml:space="preserve">are recognised across most national systems.</w:t>
      </w:r>
    </w:p>
    <w:p>
      <w:pPr>
        <w:pStyle w:val="BodyText"/>
      </w:pPr>
      <w:r>
        <w:t xml:space="preserve">If you are in the</w:t>
      </w:r>
      <w:r>
        <w:t xml:space="preserve"> </w:t>
      </w:r>
      <w:r>
        <w:rPr>
          <w:b/>
          <w:bCs/>
        </w:rPr>
        <w:t xml:space="preserve">US</w:t>
      </w:r>
      <w:r>
        <w:t xml:space="preserve"> </w:t>
      </w:r>
      <w:r>
        <w:t xml:space="preserve">or</w:t>
      </w:r>
      <w:r>
        <w:t xml:space="preserve"> </w:t>
      </w:r>
      <w:r>
        <w:rPr>
          <w:b/>
          <w:bCs/>
        </w:rPr>
        <w:t xml:space="preserve">UK</w:t>
      </w:r>
      <w:r>
        <w:t xml:space="preserve">, please download the corresponding</w:t>
      </w:r>
      <w:r>
        <w:t xml:space="preserve"> </w:t>
      </w:r>
      <w:r>
        <w:t xml:space="preserve">country-specific bundle instead. Those bundles include the local forms</w:t>
      </w:r>
      <w:r>
        <w:t xml:space="preserve"> </w:t>
      </w:r>
      <w:r>
        <w:t xml:space="preserve">and pathway-specific guidance (Medicare LCD / SWO for the US; HOOF Part</w:t>
      </w:r>
      <w:r>
        <w:t xml:space="preserve"> </w:t>
      </w:r>
      <w:r>
        <w:t xml:space="preserve">A and NHS Scotland Right Decisions for the UK).</w:t>
      </w:r>
    </w:p>
    <w:p>
      <w:pPr>
        <w:pStyle w:val="BodyText"/>
      </w:pPr>
      <w:r>
        <w:t xml:space="preserve">For the full context behind every document, see the</w:t>
      </w:r>
      <w:r>
        <w:t xml:space="preserve"> </w:t>
      </w:r>
      <w:r>
        <w:rPr>
          <w:i/>
          <w:iCs/>
        </w:rPr>
        <w:t xml:space="preserve">Getting access to</w:t>
      </w:r>
      <w:r>
        <w:rPr>
          <w:i/>
          <w:iCs/>
        </w:rPr>
        <w:t xml:space="preserve"> </w:t>
      </w:r>
      <w:r>
        <w:rPr>
          <w:i/>
          <w:iCs/>
        </w:rPr>
        <w:t xml:space="preserve">oxygen</w:t>
      </w:r>
      <w:r>
        <w:t xml:space="preserve"> </w:t>
      </w:r>
      <w:r>
        <w:t xml:space="preserve">chapter on clusterinfo.org.</w:t>
      </w:r>
    </w:p>
    <w:bookmarkStart w:id="9" w:name="whats-in-here"/>
    <w:p>
      <w:pPr>
        <w:pStyle w:val="Heading2"/>
      </w:pPr>
      <w:r>
        <w:t xml:space="preserve">What’s in here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Purpose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01-prescription-request-letter.docx</w:t>
            </w:r>
          </w:p>
        </w:tc>
        <w:tc>
          <w:tcPr/>
          <w:p>
            <w:pPr>
              <w:pStyle w:val="Compact"/>
            </w:pPr>
            <w:r>
              <w:t xml:space="preserve">An editable letter from you to your doctor, summarising the case for prescribing oxygen.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02-prescription-nrb.docx</w:t>
            </w:r>
          </w:p>
        </w:tc>
        <w:tc>
          <w:tcPr/>
          <w:p>
            <w:pPr>
              <w:pStyle w:val="Compact"/>
            </w:pPr>
            <w:r>
              <w:t xml:space="preserve">Editable non-rebreather mask prescription template with neutral wording.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03-prescription-dvo.docx</w:t>
            </w:r>
          </w:p>
        </w:tc>
        <w:tc>
          <w:tcPr/>
          <w:p>
            <w:pPr>
              <w:pStyle w:val="Compact"/>
            </w:pPr>
            <w:r>
              <w:t xml:space="preserve">Editable demand-valve oxygen (DVO) prescription template with neutral wording.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04-evidence.docx</w:t>
            </w:r>
          </w:p>
        </w:tc>
        <w:tc>
          <w:tcPr/>
          <w:p>
            <w:pPr>
              <w:pStyle w:val="Compact"/>
            </w:pPr>
            <w:r>
              <w:t xml:space="preserve">One-page summaries of the studies most often cited in support of oxygen for cluster headache, with links.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05-letter-of-medical-necessity.docx</w:t>
            </w:r>
          </w:p>
        </w:tc>
        <w:tc>
          <w:tcPr/>
          <w:p>
            <w:pPr>
              <w:pStyle w:val="Compact"/>
            </w:pPr>
            <w:r>
              <w:t xml:space="preserve">An editable template for a clinician to fill in and sign. Useful when local payers or suppliers query the prescription.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06-guidelines-summary.docx</w:t>
            </w:r>
          </w:p>
        </w:tc>
        <w:tc>
          <w:tcPr/>
          <w:p>
            <w:pPr>
              <w:pStyle w:val="Compact"/>
            </w:pPr>
            <w:r>
              <w:t xml:space="preserve">A one-page summary of the major guidelines that recommend oxygen as first-line acute treatment (EAN, AHS, and others).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full-text-articles/</w:t>
            </w:r>
          </w:p>
        </w:tc>
        <w:tc>
          <w:tcPr/>
          <w:p>
            <w:pPr>
              <w:pStyle w:val="Compact"/>
            </w:pPr>
            <w:r>
              <w:t xml:space="preserve">A folder for the open-access PDFs of the studies summarised in</w:t>
            </w:r>
            <w:r>
              <w:t xml:space="preserve"> </w:t>
            </w:r>
            <w:r>
              <w:rPr>
                <w:rStyle w:val="VerbatimChar"/>
              </w:rPr>
              <w:t xml:space="preserve">04-evidence.docx</w:t>
            </w:r>
            <w:r>
              <w:t xml:space="preserve">.</w:t>
            </w:r>
          </w:p>
        </w:tc>
      </w:tr>
    </w:tbl>
    <w:bookmarkEnd w:id="9"/>
    <w:bookmarkStart w:id="10" w:name="what-to-add-yourself"/>
    <w:p>
      <w:pPr>
        <w:pStyle w:val="Heading2"/>
      </w:pPr>
      <w:r>
        <w:t xml:space="preserve">What to add yourself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copy of your cluster headache diagnosis.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Any local guideline</w:t>
      </w:r>
      <w:r>
        <w:t xml:space="preserve"> </w:t>
      </w:r>
      <w:r>
        <w:t xml:space="preserve">from your national headache society or</w:t>
      </w:r>
      <w:r>
        <w:t xml:space="preserve"> </w:t>
      </w:r>
      <w:r>
        <w:t xml:space="preserve">medical authority that recommends oxygen for cluster headache.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Your local prescription / reimbursement forms</w:t>
      </w:r>
      <w:r>
        <w:t xml:space="preserve">, if any.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Any prior failed acute treatments</w:t>
      </w:r>
      <w:r>
        <w:t xml:space="preserve">, with dates and outcomes.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signed letter of medical necessity</w:t>
      </w:r>
      <w:r>
        <w:t xml:space="preserve"> </w:t>
      </w:r>
      <w:r>
        <w:t xml:space="preserve">(use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 </w:t>
      </w:r>
      <w:r>
        <w:t xml:space="preserve">as a template).</w:t>
      </w:r>
    </w:p>
    <w:bookmarkEnd w:id="10"/>
    <w:bookmarkStart w:id="11" w:name="how-to-use"/>
    <w:p>
      <w:pPr>
        <w:pStyle w:val="Heading2"/>
      </w:pPr>
      <w:r>
        <w:t xml:space="preserve">How to use</w:t>
      </w:r>
    </w:p>
    <w:p>
      <w:pPr>
        <w:pStyle w:val="Compact"/>
        <w:numPr>
          <w:ilvl w:val="0"/>
          <w:numId w:val="1002"/>
        </w:numPr>
      </w:pPr>
      <w:r>
        <w:t xml:space="preserve">Read</w:t>
      </w:r>
      <w:r>
        <w:t xml:space="preserve"> </w:t>
      </w:r>
      <w:r>
        <w:rPr>
          <w:rStyle w:val="VerbatimChar"/>
        </w:rPr>
        <w:t xml:space="preserve">01-prescription-request-letter.docx</w:t>
      </w:r>
      <w:r>
        <w:t xml:space="preserve"> </w:t>
      </w:r>
      <w:r>
        <w:t xml:space="preserve">and fill in the bracketed</w:t>
      </w:r>
      <w:r>
        <w:t xml:space="preserve"> </w:t>
      </w:r>
      <w:r>
        <w:t xml:space="preserve">placeholders.</w:t>
      </w:r>
    </w:p>
    <w:p>
      <w:pPr>
        <w:pStyle w:val="Compact"/>
        <w:numPr>
          <w:ilvl w:val="0"/>
          <w:numId w:val="1002"/>
        </w:numPr>
      </w:pPr>
      <w:r>
        <w:t xml:space="preserve">Print or email the folder to your doctor before the appointment.</w:t>
      </w:r>
    </w:p>
    <w:p>
      <w:pPr>
        <w:pStyle w:val="Compact"/>
        <w:numPr>
          <w:ilvl w:val="0"/>
          <w:numId w:val="1002"/>
        </w:numPr>
      </w:pPr>
      <w:r>
        <w:t xml:space="preserve">At the appointment, ask the doctor to write the prescription using</w:t>
      </w:r>
      <w:r>
        <w:t xml:space="preserve"> </w:t>
      </w:r>
      <w:r>
        <w:rPr>
          <w:rStyle w:val="VerbatimChar"/>
        </w:rPr>
        <w:t xml:space="preserve">02-prescription-nrb.docx</w:t>
      </w:r>
      <w:r>
        <w:t xml:space="preserve"> </w:t>
      </w:r>
      <w:r>
        <w:t xml:space="preserve">(or</w:t>
      </w:r>
      <w:r>
        <w:t xml:space="preserve"> </w:t>
      </w:r>
      <w:r>
        <w:rPr>
          <w:rStyle w:val="VerbatimChar"/>
        </w:rPr>
        <w:t xml:space="preserve">03-prescription-dvo.docx</w:t>
      </w:r>
      <w:r>
        <w:t xml:space="preserve">, if</w:t>
      </w:r>
      <w:r>
        <w:t xml:space="preserve"> </w:t>
      </w:r>
      <w:r>
        <w:t xml:space="preserve">demand valve oxygen is available locally) as a starting point.</w:t>
      </w:r>
    </w:p>
    <w:p>
      <w:pPr>
        <w:pStyle w:val="Compact"/>
        <w:numPr>
          <w:ilvl w:val="0"/>
          <w:numId w:val="1002"/>
        </w:numPr>
      </w:pPr>
      <w:r>
        <w:t xml:space="preserve">If your local payer or supplier queries the prescription, hand over</w:t>
      </w:r>
      <w:r>
        <w:t xml:space="preserve"> </w:t>
      </w:r>
      <w:r>
        <w:rPr>
          <w:rStyle w:val="VerbatimChar"/>
        </w:rPr>
        <w:t xml:space="preserve">05-letter-of-medical-necessity.docx</w:t>
      </w:r>
      <w:r>
        <w:t xml:space="preserve"> </w:t>
      </w:r>
      <w:r>
        <w:t xml:space="preserve">for the doctor to complete</w:t>
      </w:r>
      <w:r>
        <w:t xml:space="preserve"> </w:t>
      </w:r>
      <w:r>
        <w:t xml:space="preserve">and sign.</w:t>
      </w:r>
    </w:p>
    <w:bookmarkEnd w:id="11"/>
    <w:bookmarkStart w:id="12" w:name="local-pathway"/>
    <w:p>
      <w:pPr>
        <w:pStyle w:val="Heading2"/>
      </w:pPr>
      <w:r>
        <w:t xml:space="preserve">Local pathway</w:t>
      </w:r>
    </w:p>
    <w:p>
      <w:pPr>
        <w:pStyle w:val="FirstParagraph"/>
      </w:pPr>
      <w:r>
        <w:t xml:space="preserve">The pathway to obtaining home oxygen varies widely between countries.</w:t>
      </w:r>
      <w:r>
        <w:t xml:space="preserve"> </w:t>
      </w:r>
      <w:r>
        <w:t xml:space="preserve">Two principles travel everywhere: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Understand who prescribes, who supplies, and who pays in your</w:t>
      </w:r>
      <w:r>
        <w:rPr>
          <w:b/>
          <w:bCs/>
        </w:rPr>
        <w:t xml:space="preserve"> </w:t>
      </w:r>
      <w:r>
        <w:rPr>
          <w:b/>
          <w:bCs/>
        </w:rPr>
        <w:t xml:space="preserve">region.</w:t>
      </w:r>
      <w:r>
        <w:t xml:space="preserve"> </w:t>
      </w:r>
      <w:r>
        <w:t xml:space="preserve">Doctors, suppliers, and payers often work under incorrect</w:t>
      </w:r>
      <w:r>
        <w:t xml:space="preserve"> </w:t>
      </w:r>
      <w:r>
        <w:t xml:space="preserve">assumptions. Knowing your local rules helps.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Get every refusal in writing.</w:t>
      </w:r>
      <w:r>
        <w:t xml:space="preserve"> </w:t>
      </w:r>
      <w:r>
        <w:t xml:space="preserve">It turns a vague rejection into an</w:t>
      </w:r>
      <w:r>
        <w:t xml:space="preserve"> </w:t>
      </w:r>
      <w:r>
        <w:t xml:space="preserve">addressable problem and strengthens any appeal.</w:t>
      </w:r>
    </w:p>
    <w:p>
      <w:pPr>
        <w:pStyle w:val="FirstParagraph"/>
      </w:pPr>
      <w:r>
        <w:t xml:space="preserve">Local patient organisations and peer communities are often the fastest</w:t>
      </w:r>
      <w:r>
        <w:t xml:space="preserve"> </w:t>
      </w:r>
      <w:r>
        <w:t xml:space="preserve">route to learning your country’s specific pathway.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Oxygen folder: rest of the world edition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