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Guidelines on oxygen for cluster headache</w:t>
      </w:r>
    </w:p>
    <w:bookmarkStart w:id="17" w:name="X49c46a79da69ee01ced9023606e544e3ac07d3b"/>
    <w:p>
      <w:pPr>
        <w:pStyle w:val="Heading1"/>
      </w:pPr>
      <w:r>
        <w:t xml:space="preserve">Guidelines on oxygen for cluster headache</w:t>
      </w:r>
    </w:p>
    <w:p>
      <w:pPr>
        <w:pStyle w:val="FirstParagraph"/>
      </w:pPr>
      <w:r>
        <w:t xml:space="preserve">A one-page summary of the major guidelines that recommend high-flow</w:t>
      </w:r>
      <w:r>
        <w:t xml:space="preserve"> </w:t>
      </w:r>
      <w:r>
        <w:t xml:space="preserve">oxygen as first-line acute therapy for cluster headache.</w:t>
      </w:r>
    </w:p>
    <w:bookmarkStart w:id="9" w:name="european-academy-of-neurology-ean"/>
    <w:p>
      <w:pPr>
        <w:pStyle w:val="Heading2"/>
      </w:pPr>
      <w:r>
        <w:t xml:space="preserve">European Academy of Neurology (EAN)</w:t>
      </w:r>
    </w:p>
    <w:p>
      <w:pPr>
        <w:pStyle w:val="BlockText"/>
      </w:pPr>
      <w:r>
        <w:t xml:space="preserve">“The first option for the treatment of acute attacks of cluster</w:t>
      </w:r>
      <w:r>
        <w:t xml:space="preserve"> </w:t>
      </w:r>
      <w:r>
        <w:t xml:space="preserve">headache should be subcutaneous injection of sumatriptan 6 mg or the</w:t>
      </w:r>
      <w:r>
        <w:t xml:space="preserve"> </w:t>
      </w:r>
      <w:r>
        <w:t xml:space="preserve">inhalation of 100% oxygen with at least 12 L/min over 15 min.”</w:t>
      </w:r>
    </w:p>
    <w:bookmarkEnd w:id="9"/>
    <w:bookmarkStart w:id="10" w:name="american-headache-society-ahs"/>
    <w:p>
      <w:pPr>
        <w:pStyle w:val="Heading2"/>
      </w:pPr>
      <w:r>
        <w:t xml:space="preserve">American Headache Society (AHS)</w:t>
      </w:r>
    </w:p>
    <w:p>
      <w:pPr>
        <w:pStyle w:val="FirstParagraph"/>
      </w:pPr>
      <w:r>
        <w:t xml:space="preserve">High-flow oxygen (typically 6–12 L/min via non-rebreather mask) is</w:t>
      </w:r>
      <w:r>
        <w:t xml:space="preserve"> </w:t>
      </w:r>
      <w:r>
        <w:t xml:space="preserve">recognised as a</w:t>
      </w:r>
      <w:r>
        <w:t xml:space="preserve"> </w:t>
      </w:r>
      <w:r>
        <w:rPr>
          <w:b/>
          <w:bCs/>
        </w:rPr>
        <w:t xml:space="preserve">level A acute treatment</w:t>
      </w:r>
      <w:r>
        <w:t xml:space="preserve"> </w:t>
      </w:r>
      <w:r>
        <w:t xml:space="preserve">for cluster headache.</w:t>
      </w:r>
    </w:p>
    <w:bookmarkEnd w:id="10"/>
    <w:bookmarkStart w:id="11" w:name="nice-cg150-uk"/>
    <w:p>
      <w:pPr>
        <w:pStyle w:val="Heading2"/>
      </w:pPr>
      <w:r>
        <w:t xml:space="preserve">NICE CG150 (UK)</w:t>
      </w:r>
    </w:p>
    <w:p>
      <w:pPr>
        <w:pStyle w:val="BlockText"/>
      </w:pPr>
      <w:r>
        <w:t xml:space="preserve">“Offer oxygen and/or a subcutaneous or nasal triptan for the acute</w:t>
      </w:r>
      <w:r>
        <w:t xml:space="preserve"> </w:t>
      </w:r>
      <w:r>
        <w:t xml:space="preserve">treatment of cluster headache.”</w:t>
      </w:r>
    </w:p>
    <w:p>
      <w:pPr>
        <w:pStyle w:val="BlockText"/>
      </w:pPr>
      <w:r>
        <w:t xml:space="preserve">“Use 100% oxygen at a flow rate of at least 12 litres per minute with</w:t>
      </w:r>
      <w:r>
        <w:t xml:space="preserve"> </w:t>
      </w:r>
      <w:r>
        <w:t xml:space="preserve">a non‑rebreathing mask and a reservoir bag, and arrange provision of</w:t>
      </w:r>
      <w:r>
        <w:t xml:space="preserve"> </w:t>
      </w:r>
      <w:r>
        <w:t xml:space="preserve">home and ambulatory oxygen.”</w:t>
      </w:r>
    </w:p>
    <w:bookmarkEnd w:id="11"/>
    <w:bookmarkStart w:id="13" w:name="X53d40049a10b06743d648c1dbb2ebf71764e131"/>
    <w:p>
      <w:pPr>
        <w:pStyle w:val="Heading2"/>
      </w:pPr>
      <w:r>
        <w:t xml:space="preserve">NHS Scotland: Right Decisions for cluster headache</w:t>
      </w:r>
    </w:p>
    <w:p>
      <w:pPr>
        <w:pStyle w:val="FirstParagraph"/>
      </w:pPr>
      <w:r>
        <w:t xml:space="preserve">The most patient-friendly guidance on oxygen flow rate and use pattern:</w:t>
      </w:r>
    </w:p>
    <w:p>
      <w:pPr>
        <w:pStyle w:val="Compact"/>
        <w:numPr>
          <w:ilvl w:val="0"/>
          <w:numId w:val="1001"/>
        </w:numPr>
      </w:pPr>
      <w:r>
        <w:t xml:space="preserve">100% oxygen at</w:t>
      </w:r>
      <w:r>
        <w:t xml:space="preserve"> </w:t>
      </w:r>
      <w:r>
        <w:rPr>
          <w:b/>
          <w:bCs/>
        </w:rPr>
        <w:t xml:space="preserve">10–15 L/min for 15–20 minutes</w:t>
      </w:r>
      <w:r>
        <w:t xml:space="preserve"> </w:t>
      </w:r>
      <w:r>
        <w:t xml:space="preserve">via non-rebreather</w:t>
      </w:r>
      <w:r>
        <w:t xml:space="preserve"> </w:t>
      </w:r>
      <w:r>
        <w:t xml:space="preserve">mask.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No maximum use limit.</w:t>
      </w:r>
    </w:p>
    <w:p>
      <w:pPr>
        <w:pStyle w:val="Compact"/>
        <w:numPr>
          <w:ilvl w:val="0"/>
          <w:numId w:val="1001"/>
        </w:numPr>
      </w:pPr>
      <w:r>
        <w:t xml:space="preserve">An</w:t>
      </w:r>
      <w:r>
        <w:t xml:space="preserve"> </w:t>
      </w:r>
      <w:r>
        <w:rPr>
          <w:b/>
          <w:bCs/>
        </w:rPr>
        <w:t xml:space="preserve">on-demand valve</w:t>
      </w:r>
      <w:r>
        <w:t xml:space="preserve"> </w:t>
      </w:r>
      <w:r>
        <w:t xml:space="preserve">is available on request.</w:t>
      </w:r>
    </w:p>
    <w:p>
      <w:pPr>
        <w:pStyle w:val="FirstParagraph"/>
      </w:pPr>
      <w:hyperlink r:id="rId12">
        <w:r>
          <w:rPr>
            <w:rStyle w:val="Hyperlink"/>
          </w:rPr>
          <w:t xml:space="preserve">https://www.rightdecisions.scot.nhs.uk/neurology-pathways/headache/9-cluster-headache-guidance/</w:t>
        </w:r>
      </w:hyperlink>
    </w:p>
    <w:bookmarkEnd w:id="13"/>
    <w:bookmarkStart w:id="15" w:name="us-medicare-lcd-l33797"/>
    <w:p>
      <w:pPr>
        <w:pStyle w:val="Heading2"/>
      </w:pPr>
      <w:r>
        <w:t xml:space="preserve">US: Medicare LCD L33797</w:t>
      </w:r>
    </w:p>
    <w:p>
      <w:pPr>
        <w:pStyle w:val="FirstParagraph"/>
      </w:pPr>
      <w:r>
        <w:t xml:space="preserve">Cluster headache is listed as a</w:t>
      </w:r>
      <w:r>
        <w:t xml:space="preserve"> </w:t>
      </w:r>
      <w:r>
        <w:rPr>
          <w:b/>
          <w:bCs/>
        </w:rPr>
        <w:t xml:space="preserve">Group III</w:t>
      </w:r>
      <w:r>
        <w:t xml:space="preserve"> </w:t>
      </w:r>
      <w:r>
        <w:t xml:space="preserve">qualifying condition for</w:t>
      </w:r>
      <w:r>
        <w:t xml:space="preserve"> </w:t>
      </w:r>
      <w:r>
        <w:t xml:space="preserve">home oxygen in the Medicare Local Coverage Determination L33797.</w:t>
      </w:r>
      <w:r>
        <w:t xml:space="preserve"> </w:t>
      </w:r>
      <w:r>
        <w:t xml:space="preserve">Included here for cross-reference; the supporting LCD documentation is</w:t>
      </w:r>
      <w:r>
        <w:t xml:space="preserve"> </w:t>
      </w:r>
      <w:r>
        <w:t xml:space="preserve">in the US bundle.</w:t>
      </w:r>
    </w:p>
    <w:p>
      <w:pPr>
        <w:pStyle w:val="BodyText"/>
      </w:pPr>
      <w:hyperlink r:id="rId14">
        <w:r>
          <w:rPr>
            <w:rStyle w:val="Hyperlink"/>
          </w:rPr>
          <w:t xml:space="preserve">https://www.cms.gov/medicare-coverage-database/view/lcd.aspx?lcdid=33797</w:t>
        </w:r>
      </w:hyperlink>
    </w:p>
    <w:bookmarkEnd w:id="15"/>
    <w:bookmarkStart w:id="16" w:name="look-for-your-local-guideline"/>
    <w:p>
      <w:pPr>
        <w:pStyle w:val="Heading2"/>
      </w:pPr>
      <w:r>
        <w:t xml:space="preserve">Look for your local guideline</w:t>
      </w:r>
    </w:p>
    <w:p>
      <w:pPr>
        <w:pStyle w:val="FirstParagraph"/>
      </w:pPr>
      <w:r>
        <w:t xml:space="preserve">If your country has a national headache society or medical authority</w:t>
      </w:r>
      <w:r>
        <w:t xml:space="preserve"> </w:t>
      </w:r>
      <w:r>
        <w:t xml:space="preserve">that has published a guideline on cluster headache, cite that as well.</w:t>
      </w:r>
      <w:r>
        <w:t xml:space="preserve"> </w:t>
      </w:r>
      <w:r>
        <w:t xml:space="preserve">Examples (not exhaustive):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Germany:</w:t>
      </w:r>
      <w:r>
        <w:t xml:space="preserve"> </w:t>
      </w:r>
      <w:r>
        <w:t xml:space="preserve">Deutsche Migräne- und Kopfschmerzgesellschaft (DMKG).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France:</w:t>
      </w:r>
      <w:r>
        <w:t xml:space="preserve"> </w:t>
      </w:r>
      <w:r>
        <w:t xml:space="preserve">Société Française d’Étude des Migraines et Céphalées</w:t>
      </w:r>
      <w:r>
        <w:t xml:space="preserve"> </w:t>
      </w:r>
      <w:r>
        <w:t xml:space="preserve">(SFEMC).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Italy:</w:t>
      </w:r>
      <w:r>
        <w:t xml:space="preserve"> </w:t>
      </w:r>
      <w:r>
        <w:t xml:space="preserve">Società Italiana per lo Studio delle Cefalee (SISC).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Spain:</w:t>
      </w:r>
      <w:r>
        <w:t xml:space="preserve"> </w:t>
      </w:r>
      <w:r>
        <w:t xml:space="preserve">Sociedad Española de Neurología (SEN).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Canada:</w:t>
      </w:r>
      <w:r>
        <w:t xml:space="preserve"> </w:t>
      </w:r>
      <w:r>
        <w:t xml:space="preserve">Canadian Headache Society.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Australia / New Zealand:</w:t>
      </w:r>
      <w:r>
        <w:t xml:space="preserve"> </w:t>
      </w:r>
      <w:r>
        <w:t xml:space="preserve">Neurology Society of Australia.</w:t>
      </w:r>
    </w:p>
    <w:p>
      <w:pPr>
        <w:pStyle w:val="FirstParagraph"/>
      </w:pPr>
      <w:r>
        <w:t xml:space="preserve">Most national headache societies endorse the EAN and / or AHS position</w:t>
      </w:r>
      <w:r>
        <w:t xml:space="preserve"> </w:t>
      </w:r>
      <w:r>
        <w:t xml:space="preserve">on oxygen as first-line acute therapy.</w:t>
      </w:r>
    </w:p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14" Target="https://www.cms.gov/medicare-coverage-database/view/lcd.aspx?lcdid=33797" TargetMode="External" /><Relationship Type="http://schemas.openxmlformats.org/officeDocument/2006/relationships/hyperlink" Id="rId12" Target="https://www.rightdecisions.scot.nhs.uk/neurology-pathways/headache/9-cluster-headache-guidance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4" Target="https://www.cms.gov/medicare-coverage-database/view/lcd.aspx?lcdid=33797" TargetMode="External" /><Relationship Type="http://schemas.openxmlformats.org/officeDocument/2006/relationships/hyperlink" Id="rId12" Target="https://www.rightdecisions.scot.nhs.uk/neurology-pathways/headache/9-cluster-headache-guidance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Guidelines on oxygen for cluster headache</dc:title>
  <dc:creator/>
  <cp:keywords/>
  <dcterms:created xsi:type="dcterms:W3CDTF">2026-05-19T11:51:10Z</dcterms:created>
  <dcterms:modified xsi:type="dcterms:W3CDTF">2026-05-19T11:51:10Z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