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Letter of medical necessity: template for the prescribing clinician</w:t>
      </w:r>
    </w:p>
    <w:bookmarkStart w:id="14" w:name="letter-of-medical-necessity"/>
    <w:p>
      <w:pPr>
        <w:pStyle w:val="Heading1"/>
      </w:pPr>
      <w:r>
        <w:t xml:space="preserve">Letter of medical necessity</w:t>
      </w:r>
    </w:p>
    <w:p>
      <w:pPr>
        <w:pStyle w:val="FirstParagraph"/>
      </w:pPr>
      <w:r>
        <w:rPr>
          <w:i/>
          <w:iCs/>
        </w:rPr>
        <w:t xml:space="preserve">This is a template for the prescribing clinician. Edit the bracketed</w:t>
      </w:r>
      <w:r>
        <w:rPr>
          <w:i/>
          <w:iCs/>
        </w:rPr>
        <w:t xml:space="preserve"> </w:t>
      </w:r>
      <w:r>
        <w:rPr>
          <w:i/>
          <w:iCs/>
        </w:rPr>
        <w:t xml:space="preserve">fields, sign, and date.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[Clinic letterhead]</w:t>
      </w:r>
    </w:p>
    <w:p>
      <w:pPr>
        <w:pStyle w:val="BodyText"/>
      </w:pPr>
      <w:r>
        <w:rPr>
          <w:b/>
          <w:bCs/>
        </w:rPr>
        <w:t xml:space="preserve">Date:</w:t>
      </w:r>
      <w:r>
        <w:t xml:space="preserve"> </w:t>
      </w:r>
      <w:r>
        <w:t xml:space="preserve">[Date]</w:t>
      </w:r>
    </w:p>
    <w:p>
      <w:pPr>
        <w:pStyle w:val="BodyText"/>
      </w:pPr>
      <w:r>
        <w:rPr>
          <w:b/>
          <w:bCs/>
        </w:rPr>
        <w:t xml:space="preserve">To whom it may concern</w:t>
      </w:r>
      <w:r>
        <w:t xml:space="preserve"> </w:t>
      </w:r>
      <w:r>
        <w:t xml:space="preserve">(Supplier and/or payer)</w:t>
      </w:r>
    </w:p>
    <w:p>
      <w:r>
        <w:pict>
          <v:rect style="width:0;height:1.5pt" o:hralign="center" o:hrstd="t" o:hr="t"/>
        </w:pict>
      </w:r>
    </w:p>
    <w:bookmarkStart w:id="13" w:name="X131bd5c4bba0fae53830cc946a0955231a18a3b"/>
    <w:p>
      <w:pPr>
        <w:pStyle w:val="Heading2"/>
      </w:pPr>
      <w:r>
        <w:t xml:space="preserve">Re: [Patient full name], DOB [DOB], medical necessity for home high-flow oxygen therapy</w:t>
      </w:r>
    </w:p>
    <w:p>
      <w:pPr>
        <w:pStyle w:val="FirstParagraph"/>
      </w:pPr>
      <w:r>
        <w:t xml:space="preserve">I am the treating clinician for [Patient name], who carries a confirmed</w:t>
      </w:r>
      <w:r>
        <w:t xml:space="preserve"> </w:t>
      </w:r>
      <w:r>
        <w:t xml:space="preserve">diagnosis of [episodic / chronic] cluster headache (ICD-10 G44.0[__]).</w:t>
      </w:r>
      <w:r>
        <w:t xml:space="preserve"> </w:t>
      </w:r>
      <w:r>
        <w:t xml:space="preserve">Home high-flow oxygen therapy is medically necessary to abort this</w:t>
      </w:r>
      <w:r>
        <w:t xml:space="preserve"> </w:t>
      </w:r>
      <w:r>
        <w:t xml:space="preserve">patient’s attacks and preserve daily functioning.</w:t>
      </w:r>
    </w:p>
    <w:bookmarkStart w:id="9" w:name="clinical-summary"/>
    <w:p>
      <w:pPr>
        <w:pStyle w:val="Heading3"/>
      </w:pPr>
      <w:r>
        <w:t xml:space="preserve">Clinical summary</w:t>
      </w:r>
    </w:p>
    <w:p>
      <w:pPr>
        <w:pStyle w:val="FirstParagraph"/>
      </w:pPr>
      <w:r>
        <w:t xml:space="preserve">[Patient name] meets ICHD-3 criteria for cluster headache, with [N]</w:t>
      </w:r>
      <w:r>
        <w:t xml:space="preserve"> </w:t>
      </w:r>
      <w:r>
        <w:t xml:space="preserve">attacks per day, each lasting [duration] minutes, of severe unilateral</w:t>
      </w:r>
      <w:r>
        <w:t xml:space="preserve"> </w:t>
      </w:r>
      <w:r>
        <w:t xml:space="preserve">orbital or temporal pain accompanied by ipsilateral autonomic features</w:t>
      </w:r>
      <w:r>
        <w:t xml:space="preserve"> </w:t>
      </w:r>
      <w:r>
        <w:t xml:space="preserve">(lacrimation, conjunctival injection, rhinorrhoea, nasal congestion,</w:t>
      </w:r>
      <w:r>
        <w:t xml:space="preserve"> </w:t>
      </w:r>
      <w:r>
        <w:t xml:space="preserve">eyelid oedema, and/or restlessness during attacks). [Add bout pattern</w:t>
      </w:r>
      <w:r>
        <w:t xml:space="preserve"> </w:t>
      </w:r>
      <w:r>
        <w:t xml:space="preserve">and duration if relevant.]</w:t>
      </w:r>
    </w:p>
    <w:p>
      <w:pPr>
        <w:pStyle w:val="BodyText"/>
      </w:pPr>
      <w:r>
        <w:t xml:space="preserve">Functional impact: attacks have caused [missed work days / disrupted</w:t>
      </w:r>
      <w:r>
        <w:t xml:space="preserve"> </w:t>
      </w:r>
      <w:r>
        <w:t xml:space="preserve">sleep / inability to drive / emergency-department visits; specify].</w:t>
      </w:r>
    </w:p>
    <w:p>
      <w:pPr>
        <w:pStyle w:val="BodyText"/>
      </w:pPr>
      <w:r>
        <w:t xml:space="preserve">[Acute treatments tried: drug, dose, dates, response, adverse events.</w:t>
      </w:r>
      <w:r>
        <w:t xml:space="preserve"> </w:t>
      </w:r>
      <w:r>
        <w:t xml:space="preserve">Particularly relevant if step therapy is asserted.]</w:t>
      </w:r>
    </w:p>
    <w:bookmarkEnd w:id="9"/>
    <w:bookmarkStart w:id="10" w:name="why-oxygen-and-why-high-flow"/>
    <w:p>
      <w:pPr>
        <w:pStyle w:val="Heading3"/>
      </w:pPr>
      <w:r>
        <w:t xml:space="preserve">Why oxygen, and why high flow</w:t>
      </w:r>
    </w:p>
    <w:p>
      <w:pPr>
        <w:pStyle w:val="FirstParagraph"/>
      </w:pPr>
      <w:r>
        <w:t xml:space="preserve">High-flow inhaled oxygen via non-rebreather mask is recognised as a</w:t>
      </w:r>
      <w:r>
        <w:t xml:space="preserve"> </w:t>
      </w:r>
      <w:r>
        <w:t xml:space="preserve">first-line acute treatment for cluster headache in the major</w:t>
      </w:r>
      <w:r>
        <w:t xml:space="preserve"> </w:t>
      </w:r>
      <w:r>
        <w:t xml:space="preserve">guidelines: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European Academy of Neurology (EAN):</w:t>
      </w:r>
      <w:r>
        <w:t xml:space="preserve"> </w:t>
      </w:r>
      <w:r>
        <w:rPr>
          <w:i/>
          <w:iCs/>
        </w:rPr>
        <w:t xml:space="preserve">“The first option for the</w:t>
      </w:r>
      <w:r>
        <w:rPr>
          <w:i/>
          <w:iCs/>
        </w:rPr>
        <w:t xml:space="preserve"> </w:t>
      </w:r>
      <w:r>
        <w:rPr>
          <w:i/>
          <w:iCs/>
        </w:rPr>
        <w:t xml:space="preserve">treatment of acute attacks of cluster headache should be subcutaneous</w:t>
      </w:r>
      <w:r>
        <w:rPr>
          <w:i/>
          <w:iCs/>
        </w:rPr>
        <w:t xml:space="preserve"> </w:t>
      </w:r>
      <w:r>
        <w:rPr>
          <w:i/>
          <w:iCs/>
        </w:rPr>
        <w:t xml:space="preserve">injection of sumatriptan 6 mg or the inhalation of 100% oxygen with</w:t>
      </w:r>
      <w:r>
        <w:rPr>
          <w:i/>
          <w:iCs/>
        </w:rPr>
        <w:t xml:space="preserve"> </w:t>
      </w:r>
      <w:r>
        <w:rPr>
          <w:i/>
          <w:iCs/>
        </w:rPr>
        <w:t xml:space="preserve">at least 12 L/min over 15 min.”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American Headache Society (AHS).</w:t>
      </w:r>
      <w:r>
        <w:t xml:space="preserve"> </w:t>
      </w:r>
      <w:r>
        <w:t xml:space="preserve">Level A acute treatment.</w:t>
      </w:r>
    </w:p>
    <w:p>
      <w:pPr>
        <w:pStyle w:val="Compact"/>
        <w:numPr>
          <w:ilvl w:val="0"/>
          <w:numId w:val="1001"/>
        </w:numPr>
      </w:pPr>
      <w:r>
        <w:t xml:space="preserve">[Add local national guideline, if applicable.]</w:t>
      </w:r>
    </w:p>
    <w:p>
      <w:pPr>
        <w:pStyle w:val="FirstParagraph"/>
      </w:pPr>
      <w:r>
        <w:t xml:space="preserve">The evidence base includes Cohen et al. (JAMA, 2009), a randomised</w:t>
      </w:r>
      <w:r>
        <w:t xml:space="preserve"> </w:t>
      </w:r>
      <w:r>
        <w:t xml:space="preserve">double-blind placebo-controlled trial showing pain-free response at 15</w:t>
      </w:r>
      <w:r>
        <w:t xml:space="preserve"> </w:t>
      </w:r>
      <w:r>
        <w:t xml:space="preserve">minutes in 78% of oxygen-treated attacks versus 20% with placebo air;</w:t>
      </w:r>
      <w:r>
        <w:t xml:space="preserve"> </w:t>
      </w:r>
      <w:r>
        <w:t xml:space="preserve">Medrea et al. (Journal of Headache and Pain, 2022), a network</w:t>
      </w:r>
      <w:r>
        <w:t xml:space="preserve"> </w:t>
      </w:r>
      <w:r>
        <w:t xml:space="preserve">meta-analysis of 13 RCTs in which high-flow oxygen ranked the most</w:t>
      </w:r>
      <w:r>
        <w:t xml:space="preserve"> </w:t>
      </w:r>
      <w:r>
        <w:t xml:space="preserve">effective acute treatment; and Robbins et al.,</w:t>
      </w:r>
      <w:r>
        <w:t xml:space="preserve"> </w:t>
      </w:r>
      <w:r>
        <w:rPr>
          <w:i/>
          <w:iCs/>
        </w:rPr>
        <w:t xml:space="preserve">Treatment of Cluster</w:t>
      </w:r>
      <w:r>
        <w:rPr>
          <w:i/>
          <w:iCs/>
        </w:rPr>
        <w:t xml:space="preserve"> </w:t>
      </w:r>
      <w:r>
        <w:rPr>
          <w:i/>
          <w:iCs/>
        </w:rPr>
        <w:t xml:space="preserve">Headache: The American Headache Society Evidence-Based Guidelines</w:t>
      </w:r>
      <w:r>
        <w:t xml:space="preserve"> </w:t>
      </w:r>
      <w:r>
        <w:t xml:space="preserve">(Headache, 2016;56:1093–1106), which classifies high-flow oxygen as a</w:t>
      </w:r>
      <w:r>
        <w:t xml:space="preserve"> </w:t>
      </w:r>
      <w:r>
        <w:t xml:space="preserve">Level A acute treatment.</w:t>
      </w:r>
    </w:p>
    <w:bookmarkEnd w:id="10"/>
    <w:bookmarkStart w:id="11" w:name="prescription"/>
    <w:p>
      <w:pPr>
        <w:pStyle w:val="Heading3"/>
      </w:pPr>
      <w:r>
        <w:t xml:space="preserve">Prescription</w:t>
      </w:r>
    </w:p>
    <w:p>
      <w:pPr>
        <w:pStyle w:val="Compact"/>
        <w:numPr>
          <w:ilvl w:val="0"/>
          <w:numId w:val="1002"/>
        </w:numPr>
      </w:pPr>
      <w:r>
        <w:t xml:space="preserve">100% oxygen at 15 L/min via non-rebreather mask, up to 20 minutes</w:t>
      </w:r>
      <w:r>
        <w:t xml:space="preserve"> </w:t>
      </w:r>
      <w:r>
        <w:t xml:space="preserve">per attack, as needed (PRN, frequency determined by attacks per</w:t>
      </w:r>
      <w:r>
        <w:t xml:space="preserve"> </w:t>
      </w:r>
      <w:r>
        <w:t xml:space="preserve">day).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One large home cylinder and one portable cylinder.</w:t>
      </w:r>
      <w:r>
        <w:t xml:space="preserve"> </w:t>
      </w:r>
      <w:r>
        <w:t xml:space="preserve">The patient</w:t>
      </w:r>
      <w:r>
        <w:t xml:space="preserve"> </w:t>
      </w:r>
      <w:r>
        <w:t xml:space="preserve">requires both: the home cylinder for night-time and at-home attacks,</w:t>
      </w:r>
      <w:r>
        <w:t xml:space="preserve"> </w:t>
      </w:r>
      <w:r>
        <w:t xml:space="preserve">and the portable cylinder for attacks that occur at work or away</w:t>
      </w:r>
      <w:r>
        <w:t xml:space="preserve"> </w:t>
      </w:r>
      <w:r>
        <w:t xml:space="preserve">from home. Attacks are unpredictable and cannot be deferred.</w:t>
      </w:r>
    </w:p>
    <w:p>
      <w:pPr>
        <w:pStyle w:val="Compact"/>
        <w:numPr>
          <w:ilvl w:val="0"/>
          <w:numId w:val="1002"/>
        </w:numPr>
      </w:pPr>
      <w:r>
        <w:t xml:space="preserve">Non-rebreather mask and tubing.</w:t>
      </w:r>
    </w:p>
    <w:p>
      <w:pPr>
        <w:pStyle w:val="Compact"/>
        <w:numPr>
          <w:ilvl w:val="0"/>
          <w:numId w:val="1002"/>
        </w:numPr>
      </w:pPr>
      <w:r>
        <w:t xml:space="preserve">[Add on-demand valve specification if requested.]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Duration of need:</w:t>
      </w:r>
      <w:r>
        <w:t xml:space="preserve"> </w:t>
      </w:r>
      <w:r>
        <w:t xml:space="preserve">12 months, ongoing. Cluster headache is a</w:t>
      </w:r>
      <w:r>
        <w:t xml:space="preserve"> </w:t>
      </w:r>
      <w:r>
        <w:t xml:space="preserve">lifelong condition with active bouts recurring indefinitely.</w:t>
      </w:r>
    </w:p>
    <w:bookmarkEnd w:id="11"/>
    <w:bookmarkStart w:id="12" w:name="why-this-is-medically-necessary"/>
    <w:p>
      <w:pPr>
        <w:pStyle w:val="Heading3"/>
      </w:pPr>
      <w:r>
        <w:t xml:space="preserve">Why this is medically necessary</w:t>
      </w:r>
    </w:p>
    <w:p>
      <w:pPr>
        <w:pStyle w:val="FirstParagraph"/>
      </w:pPr>
      <w:r>
        <w:t xml:space="preserve">Without effective abortive therapy, the patient experiences severe</w:t>
      </w:r>
      <w:r>
        <w:t xml:space="preserve"> </w:t>
      </w:r>
      <w:r>
        <w:t xml:space="preserve">disabling pain multiple times per day, with substantial impact on</w:t>
      </w:r>
      <w:r>
        <w:t xml:space="preserve"> </w:t>
      </w:r>
      <w:r>
        <w:t xml:space="preserve">sleep, function, and quality of life. Triptans, the other recognised</w:t>
      </w:r>
      <w:r>
        <w:t xml:space="preserve"> </w:t>
      </w:r>
      <w:r>
        <w:t xml:space="preserve">first-line abortive, are unsuitable in this patient:</w:t>
      </w:r>
      <w:r>
        <w:t xml:space="preserve"> </w:t>
      </w:r>
      <w:r>
        <w:t xml:space="preserve">[contraindicated due to cardiovascular risk / ischaemic heart disease</w:t>
      </w:r>
      <w:r>
        <w:t xml:space="preserve"> </w:t>
      </w:r>
      <w:r>
        <w:t xml:space="preserve">/ uncontrolled hypertension],</w:t>
      </w:r>
      <w:r>
        <w:t xml:space="preserve"> </w:t>
      </w:r>
      <w:r>
        <w:rPr>
          <w:i/>
          <w:iCs/>
        </w:rPr>
        <w:t xml:space="preserve">or</w:t>
      </w:r>
      <w:r>
        <w:t xml:space="preserve"> </w:t>
      </w:r>
      <w:r>
        <w:t xml:space="preserve">[tried and ineffective: drug,</w:t>
      </w:r>
      <w:r>
        <w:t xml:space="preserve"> </w:t>
      </w:r>
      <w:r>
        <w:t xml:space="preserve">dose, dates],</w:t>
      </w:r>
      <w:r>
        <w:t xml:space="preserve"> </w:t>
      </w:r>
      <w:r>
        <w:rPr>
          <w:i/>
          <w:iCs/>
        </w:rPr>
        <w:t xml:space="preserve">or</w:t>
      </w:r>
      <w:r>
        <w:t xml:space="preserve"> </w:t>
      </w:r>
      <w:r>
        <w:t xml:space="preserve">[poorly tolerated: adverse effects].</w:t>
      </w:r>
    </w:p>
    <w:p>
      <w:pPr>
        <w:pStyle w:val="BodyText"/>
      </w:pPr>
      <w:r>
        <w:t xml:space="preserve">Oxygen has no systemic side effects, no drug interactions, and no</w:t>
      </w:r>
      <w:r>
        <w:t xml:space="preserve"> </w:t>
      </w:r>
      <w:r>
        <w:t xml:space="preserve">contraindication based on this patient’s history. It is the safest</w:t>
      </w:r>
      <w:r>
        <w:t xml:space="preserve"> </w:t>
      </w:r>
      <w:r>
        <w:t xml:space="preserve">abortive option available to this patient.</w:t>
      </w:r>
    </w:p>
    <w:p>
      <w:pPr>
        <w:pStyle w:val="BodyText"/>
      </w:pPr>
      <w:r>
        <w:t xml:space="preserve">I attest that home high-flow oxygen therapy is medically necessary</w:t>
      </w:r>
      <w:r>
        <w:t xml:space="preserve"> </w:t>
      </w:r>
      <w:r>
        <w:t xml:space="preserve">for [Patient name].</w:t>
      </w:r>
    </w:p>
    <w:p>
      <w:pPr>
        <w:pStyle w:val="BodyText"/>
      </w:pPr>
      <w:r>
        <w:t xml:space="preserve">Sincerely,</w:t>
      </w:r>
    </w:p>
    <w:p>
      <w:pPr>
        <w:pStyle w:val="BodyText"/>
      </w:pPr>
      <w:r>
        <w:rPr>
          <w:b/>
          <w:bCs/>
        </w:rPr>
        <w:t xml:space="preserve">[Prescriber name]</w:t>
      </w:r>
      <w:r>
        <w:t xml:space="preserve"> </w:t>
      </w:r>
      <w:r>
        <w:rPr>
          <w:b/>
          <w:bCs/>
        </w:rPr>
        <w:t xml:space="preserve">[Title / specialty]</w:t>
      </w:r>
      <w:r>
        <w:t xml:space="preserve"> </w:t>
      </w:r>
      <w:r>
        <w:rPr>
          <w:b/>
          <w:bCs/>
        </w:rPr>
        <w:t xml:space="preserve">[Registration / licence number]</w:t>
      </w:r>
      <w:r>
        <w:t xml:space="preserve"> </w:t>
      </w:r>
      <w:r>
        <w:rPr>
          <w:b/>
          <w:bCs/>
        </w:rPr>
        <w:t xml:space="preserve">[Signature]</w:t>
      </w:r>
      <w:r>
        <w:t xml:space="preserve"> </w:t>
      </w:r>
      <w:r>
        <w:rPr>
          <w:b/>
          <w:bCs/>
        </w:rPr>
        <w:t xml:space="preserve">[Date]</w:t>
      </w:r>
    </w:p>
    <w:bookmarkEnd w:id="12"/>
    <w:bookmarkEnd w:id="13"/>
    <w:bookmarkEnd w:id="14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of medical necessity: template for the prescribing clinician</dc:title>
  <dc:creator/>
  <cp:keywords/>
  <dcterms:created xsi:type="dcterms:W3CDTF">2026-05-19T11:51:10Z</dcterms:created>
  <dcterms:modified xsi:type="dcterms:W3CDTF">2026-05-19T11:51:10Z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