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Sarjoittaisen päänsäryn happihoidon hoitosuositukset</w:t>
      </w:r>
    </w:p>
    <w:bookmarkStart w:id="17" w:name="Xcc418dab6a81289c61002da1d7c0ab6272b3317"/>
    <w:p>
      <w:pPr>
        <w:pStyle w:val="Heading1"/>
      </w:pPr>
      <w:r>
        <w:t xml:space="preserve">Sarjoittaisen päänsäryn happihoidon hoitosuositukset</w:t>
      </w:r>
    </w:p>
    <w:p>
      <w:pPr>
        <w:pStyle w:val="FirstParagraph"/>
      </w:pPr>
      <w:r>
        <w:t xml:space="preserve">Yhden sivun yhteenveto keskeisistä hoitosuosituksista, jotka suosittelevat suurivirtauksista happihoitoa sarjoittaisen päänsäryn ensisijaiseksi kohtaushoidoksi.</w:t>
      </w:r>
    </w:p>
    <w:bookmarkStart w:id="9" w:name="european-academy-of-neurology-ean"/>
    <w:p>
      <w:pPr>
        <w:pStyle w:val="Heading2"/>
      </w:pPr>
      <w:r>
        <w:t xml:space="preserve">European Academy of Neurology (EAN)</w:t>
      </w:r>
    </w:p>
    <w:p>
      <w:pPr>
        <w:pStyle w:val="BlockText"/>
      </w:pPr>
      <w:r>
        <w:t xml:space="preserve">“The first option for the treatment of acute attacks of cluster</w:t>
      </w:r>
      <w:r>
        <w:t xml:space="preserve"> </w:t>
      </w:r>
      <w:r>
        <w:t xml:space="preserve">headache should be subcutaneous injection of sumatriptan 6 mg or the</w:t>
      </w:r>
      <w:r>
        <w:t xml:space="preserve"> </w:t>
      </w:r>
      <w:r>
        <w:t xml:space="preserve">inhalation of 100% oxygen with at least 12 L/min over 15 min.”</w:t>
      </w:r>
    </w:p>
    <w:bookmarkEnd w:id="9"/>
    <w:bookmarkStart w:id="10" w:name="american-headache-society-ahs"/>
    <w:p>
      <w:pPr>
        <w:pStyle w:val="Heading2"/>
      </w:pPr>
      <w:r>
        <w:t xml:space="preserve">American Headache Society (AHS)</w:t>
      </w:r>
    </w:p>
    <w:p>
      <w:pPr>
        <w:pStyle w:val="FirstParagraph"/>
      </w:pPr>
      <w:r>
        <w:t xml:space="preserve">Suurivirtauksinen happihoito (tyypillisesti 6–12 L/min varaajapussillisen happimaskin kautta) on tunnustettu sarjoittaisen päänsäryn</w:t>
      </w:r>
      <w:r>
        <w:t xml:space="preserve"> </w:t>
      </w:r>
      <w:r>
        <w:rPr>
          <w:b/>
          <w:bCs/>
        </w:rPr>
        <w:t xml:space="preserve">tason A kohtaushoidoksi</w:t>
      </w:r>
      <w:r>
        <w:t xml:space="preserve">.</w:t>
      </w:r>
    </w:p>
    <w:bookmarkEnd w:id="10"/>
    <w:bookmarkStart w:id="11" w:name="nice-cg150-iso-britannia"/>
    <w:p>
      <w:pPr>
        <w:pStyle w:val="Heading2"/>
      </w:pPr>
      <w:r>
        <w:t xml:space="preserve">NICE CG150 (Iso-Britannia)</w:t>
      </w:r>
    </w:p>
    <w:p>
      <w:pPr>
        <w:pStyle w:val="BlockText"/>
      </w:pPr>
      <w:r>
        <w:t xml:space="preserve">“Offer oxygen and/or a subcutaneous or nasal triptan for the acute</w:t>
      </w:r>
      <w:r>
        <w:t xml:space="preserve"> </w:t>
      </w:r>
      <w:r>
        <w:t xml:space="preserve">treatment of cluster headache.”</w:t>
      </w:r>
    </w:p>
    <w:p>
      <w:pPr>
        <w:pStyle w:val="BlockText"/>
      </w:pPr>
      <w:r>
        <w:t xml:space="preserve">“Use 100% oxygen at a flow rate of at least 12 litres per minute with</w:t>
      </w:r>
      <w:r>
        <w:t xml:space="preserve"> </w:t>
      </w:r>
      <w:r>
        <w:t xml:space="preserve">a non‑rebreathing mask and a reservoir bag, and arrange provision of</w:t>
      </w:r>
      <w:r>
        <w:t xml:space="preserve"> </w:t>
      </w:r>
      <w:r>
        <w:t xml:space="preserve">home and ambulatory oxygen.”</w:t>
      </w:r>
    </w:p>
    <w:bookmarkEnd w:id="11"/>
    <w:bookmarkStart w:id="13" w:name="X53d40049a10b06743d648c1dbb2ebf71764e131"/>
    <w:p>
      <w:pPr>
        <w:pStyle w:val="Heading2"/>
      </w:pPr>
      <w:r>
        <w:t xml:space="preserve">NHS Scotland: Right Decisions for cluster headache</w:t>
      </w:r>
    </w:p>
    <w:p>
      <w:pPr>
        <w:pStyle w:val="FirstParagraph"/>
      </w:pPr>
      <w:r>
        <w:t xml:space="preserve">Potilasystävällisin ohjeistus hapen virtausnopeudesta ja käyttötavasta:</w:t>
      </w:r>
    </w:p>
    <w:p>
      <w:pPr>
        <w:pStyle w:val="Compact"/>
        <w:numPr>
          <w:ilvl w:val="0"/>
          <w:numId w:val="1001"/>
        </w:numPr>
      </w:pPr>
      <w:r>
        <w:t xml:space="preserve">100 % happea</w:t>
      </w:r>
      <w:r>
        <w:t xml:space="preserve"> </w:t>
      </w:r>
      <w:r>
        <w:rPr>
          <w:b/>
          <w:bCs/>
        </w:rPr>
        <w:t xml:space="preserve">10–15 L/min 15–20 minuutin ajan</w:t>
      </w:r>
      <w:r>
        <w:t xml:space="preserve"> </w:t>
      </w:r>
      <w:r>
        <w:t xml:space="preserve">varaajapussillisen happimaskin kautta.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Ei käytön ylärajaa.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Demand-venttiili (annosteluventtiili)</w:t>
      </w:r>
      <w:r>
        <w:t xml:space="preserve"> </w:t>
      </w:r>
      <w:r>
        <w:t xml:space="preserve">on saatavissa pyynnöstä.</w:t>
      </w:r>
    </w:p>
    <w:p>
      <w:pPr>
        <w:pStyle w:val="FirstParagraph"/>
      </w:pPr>
      <w:hyperlink r:id="rId12">
        <w:r>
          <w:rPr>
            <w:rStyle w:val="Hyperlink"/>
          </w:rPr>
          <w:t xml:space="preserve">https://www.rightdecisions.scot.nhs.uk/neurology-pathways/headache/9-cluster-headache-guidance/</w:t>
        </w:r>
      </w:hyperlink>
    </w:p>
    <w:bookmarkEnd w:id="13"/>
    <w:bookmarkStart w:id="15" w:name="yhdysvallat-medicare-lcd-l33797"/>
    <w:p>
      <w:pPr>
        <w:pStyle w:val="Heading2"/>
      </w:pPr>
      <w:r>
        <w:t xml:space="preserve">Yhdysvallat: Medicare LCD L33797</w:t>
      </w:r>
    </w:p>
    <w:p>
      <w:pPr>
        <w:pStyle w:val="FirstParagraph"/>
      </w:pPr>
      <w:r>
        <w:t xml:space="preserve">Sarjoittainen päänsärky on luokiteltu</w:t>
      </w:r>
      <w:r>
        <w:t xml:space="preserve"> </w:t>
      </w:r>
      <w:r>
        <w:rPr>
          <w:b/>
          <w:bCs/>
        </w:rPr>
        <w:t xml:space="preserve">ryhmän III</w:t>
      </w:r>
      <w:r>
        <w:t xml:space="preserve"> </w:t>
      </w:r>
      <w:r>
        <w:t xml:space="preserve">(Group III) korvattavaksi sairaudeksi kotihapen osalta Medicaren Local Coverage Determination -päätöksessä L33797. Mainittu tässä ristiviittauksena; varsinainen LCD-dokumentaatio on Yhdysvaltain paketissa.</w:t>
      </w:r>
    </w:p>
    <w:p>
      <w:pPr>
        <w:pStyle w:val="BodyText"/>
      </w:pPr>
      <w:hyperlink r:id="rId14">
        <w:r>
          <w:rPr>
            <w:rStyle w:val="Hyperlink"/>
          </w:rPr>
          <w:t xml:space="preserve">https://www.cms.gov/medicare-coverage-database/view/lcd.aspx?lcdid=33797</w:t>
        </w:r>
      </w:hyperlink>
    </w:p>
    <w:bookmarkEnd w:id="15"/>
    <w:bookmarkStart w:id="16" w:name="etsi-oman-maasi-hoitosuositus"/>
    <w:p>
      <w:pPr>
        <w:pStyle w:val="Heading2"/>
      </w:pPr>
      <w:r>
        <w:t xml:space="preserve">Etsi oman maasi hoitosuositus</w:t>
      </w:r>
    </w:p>
    <w:p>
      <w:pPr>
        <w:pStyle w:val="FirstParagraph"/>
      </w:pPr>
      <w:r>
        <w:t xml:space="preserve">Jos maassasi on kansallinen päänsärky-yhdistys tai lääketieteellinen viranomainen, joka on julkaissut sarjoittaista päänsärkyä koskevan hoitosuosituksen, viittaa myös siihen. Esimerkkejä (ei kattava luettelo):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Saksa:</w:t>
      </w:r>
      <w:r>
        <w:t xml:space="preserve"> </w:t>
      </w:r>
      <w:r>
        <w:t xml:space="preserve">Deutsche Migräne- und Kopfschmerzgesellschaft (DMKG).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Ranska:</w:t>
      </w:r>
      <w:r>
        <w:t xml:space="preserve"> </w:t>
      </w:r>
      <w:r>
        <w:t xml:space="preserve">Société Française d’Étude des Migraines et Céphalées (SFEMC).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Italia:</w:t>
      </w:r>
      <w:r>
        <w:t xml:space="preserve"> </w:t>
      </w:r>
      <w:r>
        <w:t xml:space="preserve">Società Italiana per lo Studio delle Cefalee (SISC).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Espanja:</w:t>
      </w:r>
      <w:r>
        <w:t xml:space="preserve"> </w:t>
      </w:r>
      <w:r>
        <w:t xml:space="preserve">Sociedad Española de Neurología (SEN).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Kanada:</w:t>
      </w:r>
      <w:r>
        <w:t xml:space="preserve"> </w:t>
      </w:r>
      <w:r>
        <w:t xml:space="preserve">Canadian Headache Society.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Australia / Uusi-Seelanti:</w:t>
      </w:r>
      <w:r>
        <w:t xml:space="preserve"> </w:t>
      </w:r>
      <w:r>
        <w:t xml:space="preserve">Neurology Society of Australia.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Suomi:</w:t>
      </w:r>
      <w:r>
        <w:t xml:space="preserve"> </w:t>
      </w:r>
      <w:r>
        <w:t xml:space="preserve">Suomen Päänsärkyyhdistys; Käypä hoito -suositukset (Duodecim).</w:t>
      </w:r>
    </w:p>
    <w:p>
      <w:pPr>
        <w:pStyle w:val="FirstParagraph"/>
      </w:pPr>
      <w:r>
        <w:t xml:space="preserve">Useimmat kansalliset päänsärky-yhdistykset noudattavat EAN:n ja/tai AHS:n kantaa, jonka mukaan happihoito on sarjoittaisen päänsäryn ensisijainen kohtaushoito.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4" Target="https://www.cms.gov/medicare-coverage-database/view/lcd.aspx?lcdid=33797" TargetMode="External" /><Relationship Type="http://schemas.openxmlformats.org/officeDocument/2006/relationships/hyperlink" Id="rId12" Target="https://www.rightdecisions.scot.nhs.uk/neurology-pathways/headache/9-cluster-headache-guidance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4" Target="https://www.cms.gov/medicare-coverage-database/view/lcd.aspx?lcdid=33797" TargetMode="External" /><Relationship Type="http://schemas.openxmlformats.org/officeDocument/2006/relationships/hyperlink" Id="rId12" Target="https://www.rightdecisions.scot.nhs.uk/neurology-pathways/headache/9-cluster-headache-guidance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Sarjoittaisen päänsäryn happihoidon hoitosuositukset</dc:title>
  <dc:creator/>
  <cp:keywords/>
  <dcterms:created xsi:type="dcterms:W3CDTF">2026-06-05T11:09:10Z</dcterms:created>
  <dcterms:modified xsi:type="dcterms:W3CDTF">2026-06-05T11:09:10Z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