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Lääketieteellisen tarpeen kirje: malli reseptin määräävälle lääkärille</w:t>
      </w:r>
    </w:p>
    <w:bookmarkStart w:id="14" w:name="lääketieteellisen-tarpeen-kirje"/>
    <w:p>
      <w:pPr>
        <w:pStyle w:val="Heading1"/>
      </w:pPr>
      <w:r>
        <w:t xml:space="preserve">Lääketieteellisen tarpeen kirje</w:t>
      </w:r>
    </w:p>
    <w:p>
      <w:pPr>
        <w:pStyle w:val="FirstParagraph"/>
      </w:pPr>
      <w:r>
        <w:rPr>
          <w:i/>
          <w:iCs/>
        </w:rPr>
        <w:t xml:space="preserve">Tämä on malli reseptin määräävälle lääkärille. Muokkaa hakasulkeissa olevat</w:t>
      </w:r>
      <w:r>
        <w:rPr>
          <w:i/>
          <w:iCs/>
        </w:rPr>
        <w:t xml:space="preserve"> </w:t>
      </w:r>
      <w:r>
        <w:rPr>
          <w:i/>
          <w:iCs/>
        </w:rPr>
        <w:t xml:space="preserve">kentät, allekirjoita ja päivää.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[Klinikan kirjelomakkeen otsikko]</w:t>
      </w:r>
    </w:p>
    <w:p>
      <w:pPr>
        <w:pStyle w:val="BodyText"/>
      </w:pPr>
      <w:r>
        <w:rPr>
          <w:b/>
          <w:bCs/>
        </w:rPr>
        <w:t xml:space="preserve">Päivämäärä:</w:t>
      </w:r>
      <w:r>
        <w:t xml:space="preserve"> </w:t>
      </w:r>
      <w:r>
        <w:t xml:space="preserve">[Päivämäärä]</w:t>
      </w:r>
    </w:p>
    <w:p>
      <w:pPr>
        <w:pStyle w:val="BodyText"/>
      </w:pPr>
      <w:r>
        <w:rPr>
          <w:b/>
          <w:bCs/>
        </w:rPr>
        <w:t xml:space="preserve">Vastaanottajalle</w:t>
      </w:r>
      <w:r>
        <w:t xml:space="preserve"> </w:t>
      </w:r>
      <w:r>
        <w:t xml:space="preserve">(Toimittaja ja/tai maksaja)</w:t>
      </w:r>
    </w:p>
    <w:p>
      <w:r>
        <w:pict>
          <v:rect style="width:0;height:1.5pt" o:hralign="center" o:hrstd="t" o:hr="t"/>
        </w:pict>
      </w:r>
    </w:p>
    <w:bookmarkStart w:id="13" w:name="X1eb9846a86d73e7929270099110ae0efc56dac0"/>
    <w:p>
      <w:pPr>
        <w:pStyle w:val="Heading2"/>
      </w:pPr>
      <w:r>
        <w:t xml:space="preserve">Aihe: [Potilaan koko nimi], synt. [Syntymäaika], lääketieteellinen tarve suurivirtauksiselle kotihappihoidolle</w:t>
      </w:r>
    </w:p>
    <w:p>
      <w:pPr>
        <w:pStyle w:val="FirstParagraph"/>
      </w:pPr>
      <w:r>
        <w:t xml:space="preserve">Olen [Potilaan nimi]:n hoitava lääkäri. Potilaalla on varmistettu</w:t>
      </w:r>
      <w:r>
        <w:t xml:space="preserve"> </w:t>
      </w:r>
      <w:r>
        <w:t xml:space="preserve">[episodinen / krooninen] sarjoittainen päänsärky (ICD-10 G44.0[__]).</w:t>
      </w:r>
      <w:r>
        <w:t xml:space="preserve"> </w:t>
      </w:r>
      <w:r>
        <w:t xml:space="preserve">Suurivirtauksinen kotihappihoito on lääketieteellisesti välttämätön</w:t>
      </w:r>
      <w:r>
        <w:t xml:space="preserve"> </w:t>
      </w:r>
      <w:r>
        <w:t xml:space="preserve">tämän potilaan kohtausten katkaisemiseksi ja päivittäisen toimintakyvyn</w:t>
      </w:r>
      <w:r>
        <w:t xml:space="preserve"> </w:t>
      </w:r>
      <w:r>
        <w:t xml:space="preserve">säilyttämiseksi.</w:t>
      </w:r>
    </w:p>
    <w:bookmarkStart w:id="9" w:name="kliininen-yhteenveto"/>
    <w:p>
      <w:pPr>
        <w:pStyle w:val="Heading3"/>
      </w:pPr>
      <w:r>
        <w:t xml:space="preserve">Kliininen yhteenveto</w:t>
      </w:r>
    </w:p>
    <w:p>
      <w:pPr>
        <w:pStyle w:val="FirstParagraph"/>
      </w:pPr>
      <w:r>
        <w:t xml:space="preserve">[Potilaan nimi] täyttää ICHD-3-kriteerit sarjoittaiselle päänsärylle.</w:t>
      </w:r>
      <w:r>
        <w:t xml:space="preserve"> </w:t>
      </w:r>
      <w:r>
        <w:t xml:space="preserve">Kohtauksia on [N] päivässä, kukin kestää [kesto] minuuttia ja sisältää</w:t>
      </w:r>
      <w:r>
        <w:t xml:space="preserve"> </w:t>
      </w:r>
      <w:r>
        <w:t xml:space="preserve">voimakasta toispuoleista silmäkuopan tai ohimon kipua sekä samanpuoleisia</w:t>
      </w:r>
      <w:r>
        <w:t xml:space="preserve"> </w:t>
      </w:r>
      <w:r>
        <w:t xml:space="preserve">autonomisia oireita (kyynelvuoto, sidekalvon punoitus, vuotava nenä,</w:t>
      </w:r>
      <w:r>
        <w:t xml:space="preserve"> </w:t>
      </w:r>
      <w:r>
        <w:t xml:space="preserve">nenän tukkoisuus, silmäluomen turvotus ja/tai levottomuus kohtausten</w:t>
      </w:r>
      <w:r>
        <w:t xml:space="preserve"> </w:t>
      </w:r>
      <w:r>
        <w:t xml:space="preserve">aikana). [Lisää sarjan kuvio ja kesto, jos olennaista.]</w:t>
      </w:r>
    </w:p>
    <w:p>
      <w:pPr>
        <w:pStyle w:val="BodyText"/>
      </w:pPr>
      <w:r>
        <w:t xml:space="preserve">Toimintakykyvaikutus: kohtaukset ovat aiheuttaneet [poissaoloja</w:t>
      </w:r>
      <w:r>
        <w:t xml:space="preserve"> </w:t>
      </w:r>
      <w:r>
        <w:t xml:space="preserve">työstä / unen häiriintymistä / kyvyttömyyttä ajaa autoa /</w:t>
      </w:r>
      <w:r>
        <w:t xml:space="preserve"> </w:t>
      </w:r>
      <w:r>
        <w:t xml:space="preserve">päivystyskäyntejä; täsmennä].</w:t>
      </w:r>
    </w:p>
    <w:p>
      <w:pPr>
        <w:pStyle w:val="BodyText"/>
      </w:pPr>
      <w:r>
        <w:t xml:space="preserve">[Kokeillut kohtauslääkkeet: lääke, annos, päivämäärät, vaste,</w:t>
      </w:r>
      <w:r>
        <w:t xml:space="preserve"> </w:t>
      </w:r>
      <w:r>
        <w:t xml:space="preserve">haittavaikutukset. Erityisen olennaista, jos vaiheittaista hoitoa</w:t>
      </w:r>
      <w:r>
        <w:t xml:space="preserve"> </w:t>
      </w:r>
      <w:r>
        <w:t xml:space="preserve">edellytetään.]</w:t>
      </w:r>
    </w:p>
    <w:bookmarkEnd w:id="9"/>
    <w:bookmarkStart w:id="10" w:name="miksi-happi-ja-miksi-suuri-virtaus"/>
    <w:p>
      <w:pPr>
        <w:pStyle w:val="Heading3"/>
      </w:pPr>
      <w:r>
        <w:t xml:space="preserve">Miksi happi ja miksi suuri virtaus</w:t>
      </w:r>
    </w:p>
    <w:p>
      <w:pPr>
        <w:pStyle w:val="FirstParagraph"/>
      </w:pPr>
      <w:r>
        <w:t xml:space="preserve">Suurivirtauksinen sisäänhengitettävä happi varaajapussillisen happimaskin</w:t>
      </w:r>
      <w:r>
        <w:t xml:space="preserve"> </w:t>
      </w:r>
      <w:r>
        <w:t xml:space="preserve">kautta on tunnustettu sarjoittaisen päänsäryn ensilinjan kohtaushoidoksi</w:t>
      </w:r>
      <w:r>
        <w:t xml:space="preserve"> </w:t>
      </w:r>
      <w:r>
        <w:t xml:space="preserve">keskeisissä hoitosuosituksissa: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European Academy of Neurology (EAN):</w:t>
      </w:r>
      <w:r>
        <w:t xml:space="preserve"> </w:t>
      </w:r>
      <w:r>
        <w:rPr>
          <w:i/>
          <w:iCs/>
        </w:rPr>
        <w:t xml:space="preserve">“The first option for the</w:t>
      </w:r>
      <w:r>
        <w:rPr>
          <w:i/>
          <w:iCs/>
        </w:rPr>
        <w:t xml:space="preserve"> </w:t>
      </w:r>
      <w:r>
        <w:rPr>
          <w:i/>
          <w:iCs/>
        </w:rPr>
        <w:t xml:space="preserve">treatment of acute attacks of cluster headache should be subcutaneous</w:t>
      </w:r>
      <w:r>
        <w:rPr>
          <w:i/>
          <w:iCs/>
        </w:rPr>
        <w:t xml:space="preserve"> </w:t>
      </w:r>
      <w:r>
        <w:rPr>
          <w:i/>
          <w:iCs/>
        </w:rPr>
        <w:t xml:space="preserve">injection of sumatriptan 6 mg or the inhalation of 100% oxygen with</w:t>
      </w:r>
      <w:r>
        <w:rPr>
          <w:i/>
          <w:iCs/>
        </w:rPr>
        <w:t xml:space="preserve"> </w:t>
      </w:r>
      <w:r>
        <w:rPr>
          <w:i/>
          <w:iCs/>
        </w:rPr>
        <w:t xml:space="preserve">at least 12 L/min over 15 min.”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American Headache Society (AHS).</w:t>
      </w:r>
      <w:r>
        <w:t xml:space="preserve"> </w:t>
      </w:r>
      <w:r>
        <w:t xml:space="preserve">Tason A kohtaushoito.</w:t>
      </w:r>
    </w:p>
    <w:p>
      <w:pPr>
        <w:pStyle w:val="Compact"/>
        <w:numPr>
          <w:ilvl w:val="0"/>
          <w:numId w:val="1001"/>
        </w:numPr>
      </w:pPr>
      <w:r>
        <w:t xml:space="preserve">[Lisää kansallinen hoitosuositus, jos sellainen on.]</w:t>
      </w:r>
    </w:p>
    <w:p>
      <w:pPr>
        <w:pStyle w:val="FirstParagraph"/>
      </w:pPr>
      <w:r>
        <w:t xml:space="preserve">Näyttöpohjaan kuuluvat Cohen et al. (JAMA, 2009), satunnaistettu</w:t>
      </w:r>
      <w:r>
        <w:t xml:space="preserve"> </w:t>
      </w:r>
      <w:r>
        <w:t xml:space="preserve">kaksoissokkoutettu lumekontrolloitu tutkimus, jossa kivuttomuus 15</w:t>
      </w:r>
      <w:r>
        <w:t xml:space="preserve"> </w:t>
      </w:r>
      <w:r>
        <w:t xml:space="preserve">minuutin kohdalla saavutettiin 78 %:ssa hapella hoidetuista kohtauksista</w:t>
      </w:r>
      <w:r>
        <w:t xml:space="preserve"> </w:t>
      </w:r>
      <w:r>
        <w:t xml:space="preserve">verrattuna 20 %:iin lumeilmalla; Medrea et al. (Journal of Headache and</w:t>
      </w:r>
      <w:r>
        <w:t xml:space="preserve"> </w:t>
      </w:r>
      <w:r>
        <w:t xml:space="preserve">Pain, 2022), 13 satunnaistetun tutkimuksen verkostometa-analyysi, jossa</w:t>
      </w:r>
      <w:r>
        <w:t xml:space="preserve"> </w:t>
      </w:r>
      <w:r>
        <w:t xml:space="preserve">suurivirtauksinen happi sijoittui tehokkaimmaksi kohtaushoidoksi; sekä</w:t>
      </w:r>
      <w:r>
        <w:t xml:space="preserve"> </w:t>
      </w:r>
      <w:r>
        <w:t xml:space="preserve">Robbins et al.,</w:t>
      </w:r>
      <w:r>
        <w:t xml:space="preserve"> </w:t>
      </w:r>
      <w:r>
        <w:rPr>
          <w:i/>
          <w:iCs/>
        </w:rPr>
        <w:t xml:space="preserve">Treatment of Cluster Headache: The American Headache</w:t>
      </w:r>
      <w:r>
        <w:rPr>
          <w:i/>
          <w:iCs/>
        </w:rPr>
        <w:t xml:space="preserve"> </w:t>
      </w:r>
      <w:r>
        <w:rPr>
          <w:i/>
          <w:iCs/>
        </w:rPr>
        <w:t xml:space="preserve">Society Evidence-Based Guidelines</w:t>
      </w:r>
      <w:r>
        <w:t xml:space="preserve"> </w:t>
      </w:r>
      <w:r>
        <w:t xml:space="preserve">(Headache, 2016;56:1093–1106), jossa</w:t>
      </w:r>
      <w:r>
        <w:t xml:space="preserve"> </w:t>
      </w:r>
      <w:r>
        <w:t xml:space="preserve">suurivirtauksinen happi luokitellaan tason A kohtaushoidoksi.</w:t>
      </w:r>
    </w:p>
    <w:bookmarkEnd w:id="10"/>
    <w:bookmarkStart w:id="11" w:name="resepti"/>
    <w:p>
      <w:pPr>
        <w:pStyle w:val="Heading3"/>
      </w:pPr>
      <w:r>
        <w:t xml:space="preserve">Resepti</w:t>
      </w:r>
    </w:p>
    <w:p>
      <w:pPr>
        <w:pStyle w:val="Compact"/>
        <w:numPr>
          <w:ilvl w:val="0"/>
          <w:numId w:val="1002"/>
        </w:numPr>
      </w:pPr>
      <w:r>
        <w:t xml:space="preserve">100 % happi 15 l/min varaajapussillisen happimaskin kautta, enintään</w:t>
      </w:r>
      <w:r>
        <w:t xml:space="preserve"> </w:t>
      </w:r>
      <w:r>
        <w:t xml:space="preserve">20 minuuttia kohtausta kohden, tarvittaessa (PRN, käyttötiheys</w:t>
      </w:r>
      <w:r>
        <w:t xml:space="preserve"> </w:t>
      </w:r>
      <w:r>
        <w:t xml:space="preserve">määräytyy päivittäisten kohtausten mukaan).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Yksi suuri kotihappipullo ja yksi kannettava happipullo.</w:t>
      </w:r>
      <w:r>
        <w:t xml:space="preserve"> </w:t>
      </w:r>
      <w:r>
        <w:t xml:space="preserve">Potilas</w:t>
      </w:r>
      <w:r>
        <w:t xml:space="preserve"> </w:t>
      </w:r>
      <w:r>
        <w:t xml:space="preserve">tarvitsee molemmat: kotipullo öisin ja kotona ilmaantuviin kohtauksiin</w:t>
      </w:r>
      <w:r>
        <w:t xml:space="preserve"> </w:t>
      </w:r>
      <w:r>
        <w:t xml:space="preserve">sekä kannettava pullo työpaikalla tai kodin ulkopuolella ilmaantuviin</w:t>
      </w:r>
      <w:r>
        <w:t xml:space="preserve"> </w:t>
      </w:r>
      <w:r>
        <w:t xml:space="preserve">kohtauksiin. Kohtaukset ovat ennakoimattomia eikä niitä voi siirtää.</w:t>
      </w:r>
    </w:p>
    <w:p>
      <w:pPr>
        <w:pStyle w:val="Compact"/>
        <w:numPr>
          <w:ilvl w:val="0"/>
          <w:numId w:val="1002"/>
        </w:numPr>
      </w:pPr>
      <w:r>
        <w:t xml:space="preserve">Varaajapussillinen happimaski ja letku.</w:t>
      </w:r>
    </w:p>
    <w:p>
      <w:pPr>
        <w:pStyle w:val="Compact"/>
        <w:numPr>
          <w:ilvl w:val="0"/>
          <w:numId w:val="1002"/>
        </w:numPr>
      </w:pPr>
      <w:r>
        <w:t xml:space="preserve">[Lisää Demand-venttiilin määrittely, jos pyydetty.]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Tarpeen kesto:</w:t>
      </w:r>
      <w:r>
        <w:t xml:space="preserve"> </w:t>
      </w:r>
      <w:r>
        <w:t xml:space="preserve">12 kuukautta, jatkuva. Sarjoittainen päänsärky on</w:t>
      </w:r>
      <w:r>
        <w:t xml:space="preserve"> </w:t>
      </w:r>
      <w:r>
        <w:t xml:space="preserve">elinikäinen sairaus, jossa aktiivisia sarjoja toistuu rajattomasti.</w:t>
      </w:r>
    </w:p>
    <w:bookmarkEnd w:id="11"/>
    <w:bookmarkStart w:id="12" w:name="X03f171fb824c7131351c969a7a849119d8be5b3"/>
    <w:p>
      <w:pPr>
        <w:pStyle w:val="Heading3"/>
      </w:pPr>
      <w:r>
        <w:t xml:space="preserve">Miksi tämä on lääketieteellisesti välttämätöntä</w:t>
      </w:r>
    </w:p>
    <w:p>
      <w:pPr>
        <w:pStyle w:val="FirstParagraph"/>
      </w:pPr>
      <w:r>
        <w:t xml:space="preserve">Ilman tehokasta kohtauslääkettä potilas kärsii vaikeasta, toimintakykyä</w:t>
      </w:r>
      <w:r>
        <w:t xml:space="preserve"> </w:t>
      </w:r>
      <w:r>
        <w:t xml:space="preserve">heikentävästä kivusta useita kertoja päivässä, mikä vaikuttaa merkittävästi</w:t>
      </w:r>
      <w:r>
        <w:t xml:space="preserve"> </w:t>
      </w:r>
      <w:r>
        <w:t xml:space="preserve">uneen, toimintakykyyn ja elämänlaatuun. Triptaanit, toinen tunnustettu</w:t>
      </w:r>
      <w:r>
        <w:t xml:space="preserve"> </w:t>
      </w:r>
      <w:r>
        <w:t xml:space="preserve">ensilinjan kohtauslääke, eivät sovi tälle potilaalle:</w:t>
      </w:r>
      <w:r>
        <w:t xml:space="preserve"> </w:t>
      </w:r>
      <w:r>
        <w:t xml:space="preserve">[vasta-aiheinen sydän- ja verisuoniriskin / iskeemisen sydänsairauden /</w:t>
      </w:r>
      <w:r>
        <w:t xml:space="preserve"> </w:t>
      </w:r>
      <w:r>
        <w:t xml:space="preserve">hallitsemattoman verenpaineen vuoksi],</w:t>
      </w:r>
      <w:r>
        <w:t xml:space="preserve"> </w:t>
      </w:r>
      <w:r>
        <w:rPr>
          <w:i/>
          <w:iCs/>
        </w:rPr>
        <w:t xml:space="preserve">tai</w:t>
      </w:r>
      <w:r>
        <w:t xml:space="preserve"> </w:t>
      </w:r>
      <w:r>
        <w:t xml:space="preserve">[kokeiltu ja tehoton:</w:t>
      </w:r>
      <w:r>
        <w:t xml:space="preserve"> </w:t>
      </w:r>
      <w:r>
        <w:t xml:space="preserve">lääke, annos, päivämäärät],</w:t>
      </w:r>
      <w:r>
        <w:t xml:space="preserve"> </w:t>
      </w:r>
      <w:r>
        <w:rPr>
          <w:i/>
          <w:iCs/>
        </w:rPr>
        <w:t xml:space="preserve">tai</w:t>
      </w:r>
      <w:r>
        <w:t xml:space="preserve"> </w:t>
      </w:r>
      <w:r>
        <w:t xml:space="preserve">[heikosti siedetty: haittavaikutukset].</w:t>
      </w:r>
    </w:p>
    <w:p>
      <w:pPr>
        <w:pStyle w:val="BodyText"/>
      </w:pPr>
      <w:r>
        <w:t xml:space="preserve">Hapella ei ole systeemisiä haittavaikutuksia, ei lääkkeiden</w:t>
      </w:r>
      <w:r>
        <w:t xml:space="preserve"> </w:t>
      </w:r>
      <w:r>
        <w:t xml:space="preserve">yhteisvaikutuksia eikä vasta-aiheita tämän potilaan esitietojen</w:t>
      </w:r>
      <w:r>
        <w:t xml:space="preserve"> </w:t>
      </w:r>
      <w:r>
        <w:t xml:space="preserve">perusteella. Se on turvallisin tälle potilaalle saatavilla oleva</w:t>
      </w:r>
      <w:r>
        <w:t xml:space="preserve"> </w:t>
      </w:r>
      <w:r>
        <w:t xml:space="preserve">kohtauslääkitys.</w:t>
      </w:r>
    </w:p>
    <w:p>
      <w:pPr>
        <w:pStyle w:val="BodyText"/>
      </w:pPr>
      <w:r>
        <w:t xml:space="preserve">Vahvistan, että suurivirtauksinen kotihappihoito on lääketieteellisesti</w:t>
      </w:r>
      <w:r>
        <w:t xml:space="preserve"> </w:t>
      </w:r>
      <w:r>
        <w:t xml:space="preserve">välttämätön potilaalle [Potilaan nimi].</w:t>
      </w:r>
    </w:p>
    <w:p>
      <w:pPr>
        <w:pStyle w:val="BodyText"/>
      </w:pPr>
      <w:r>
        <w:t xml:space="preserve">Ystävällisin terveisin,</w:t>
      </w:r>
    </w:p>
    <w:p>
      <w:pPr>
        <w:pStyle w:val="BodyText"/>
      </w:pPr>
      <w:r>
        <w:rPr>
          <w:b/>
          <w:bCs/>
        </w:rPr>
        <w:t xml:space="preserve">[Määräävän lääkärin nimi]</w:t>
      </w:r>
      <w:r>
        <w:t xml:space="preserve"> </w:t>
      </w:r>
      <w:r>
        <w:rPr>
          <w:b/>
          <w:bCs/>
        </w:rPr>
        <w:t xml:space="preserve">[Virka-asema / erikoisala]</w:t>
      </w:r>
      <w:r>
        <w:t xml:space="preserve"> </w:t>
      </w:r>
      <w:r>
        <w:rPr>
          <w:b/>
          <w:bCs/>
        </w:rPr>
        <w:t xml:space="preserve">[Rekisteröinti- / lupanumero]</w:t>
      </w:r>
      <w:r>
        <w:t xml:space="preserve"> </w:t>
      </w:r>
      <w:r>
        <w:rPr>
          <w:b/>
          <w:bCs/>
        </w:rPr>
        <w:t xml:space="preserve">[Allekirjoitus]</w:t>
      </w:r>
      <w:r>
        <w:t xml:space="preserve"> </w:t>
      </w:r>
      <w:r>
        <w:rPr>
          <w:b/>
          <w:bCs/>
        </w:rPr>
        <w:t xml:space="preserve">[Päivämäärä]</w:t>
      </w:r>
    </w:p>
    <w:bookmarkEnd w:id="12"/>
    <w:bookmarkEnd w:id="13"/>
    <w:bookmarkEnd w:id="14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1"/>
  </w:num>
  <w:num w:numId="100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Lääketieteellisen tarpeen kirje: malli reseptin määräävälle lääkärille</dc:title>
  <dc:creator/>
  <cp:keywords/>
  <dcterms:created xsi:type="dcterms:W3CDTF">2026-06-05T11:09:10Z</dcterms:created>
  <dcterms:modified xsi:type="dcterms:W3CDTF">2026-06-05T11:09:10Z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