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Dossier oxygène : édition reste du monde</w:t>
      </w:r>
    </w:p>
    <w:bookmarkStart w:id="13" w:name="dossier-oxygène-édition-reste-du-monde"/>
    <w:p>
      <w:pPr>
        <w:pStyle w:val="Heading1"/>
      </w:pPr>
      <w:r>
        <w:t xml:space="preserve">Dossier oxygène : édition reste du monde</w:t>
      </w:r>
    </w:p>
    <w:p>
      <w:pPr>
        <w:pStyle w:val="FirstParagraph"/>
      </w:pPr>
      <w:r>
        <w:t xml:space="preserve">Ce dossier est conçu pour vous aider à obtenir une prescription</w:t>
      </w:r>
      <w:r>
        <w:t xml:space="preserve"> </w:t>
      </w:r>
      <w:r>
        <w:t xml:space="preserve">d’oxygénothérapie à haut débit pour l’algie vasculaire de la face (AVF)</w:t>
      </w:r>
      <w:r>
        <w:t xml:space="preserve"> </w:t>
      </w:r>
      <w:r>
        <w:t xml:space="preserve">en dehors des États-Unis et du Royaume-Uni. Il utilise une formulation</w:t>
      </w:r>
      <w:r>
        <w:t xml:space="preserve"> </w:t>
      </w:r>
      <w:r>
        <w:t xml:space="preserve">neutre, applicable au niveau international, et fait référence aux</w:t>
      </w:r>
      <w:r>
        <w:t xml:space="preserve"> </w:t>
      </w:r>
      <w:r>
        <w:t xml:space="preserve">recommandations de l’European Academy of Neurology et de l’American</w:t>
      </w:r>
      <w:r>
        <w:t xml:space="preserve"> </w:t>
      </w:r>
      <w:r>
        <w:t xml:space="preserve">Headache Society, qui sont reconnues dans la plupart des systèmes</w:t>
      </w:r>
      <w:r>
        <w:t xml:space="preserve"> </w:t>
      </w:r>
      <w:r>
        <w:t xml:space="preserve">nationaux.</w:t>
      </w:r>
    </w:p>
    <w:p>
      <w:pPr>
        <w:pStyle w:val="BodyText"/>
      </w:pPr>
      <w:r>
        <w:t xml:space="preserve">Si vous êtes aux</w:t>
      </w:r>
      <w:r>
        <w:t xml:space="preserve"> </w:t>
      </w:r>
      <w:r>
        <w:rPr>
          <w:b/>
          <w:bCs/>
        </w:rPr>
        <w:t xml:space="preserve">États-Unis</w:t>
      </w:r>
      <w:r>
        <w:t xml:space="preserve"> </w:t>
      </w:r>
      <w:r>
        <w:t xml:space="preserve">ou au</w:t>
      </w:r>
      <w:r>
        <w:t xml:space="preserve"> </w:t>
      </w:r>
      <w:r>
        <w:rPr>
          <w:b/>
          <w:bCs/>
        </w:rPr>
        <w:t xml:space="preserve">Royaume-Uni</w:t>
      </w:r>
      <w:r>
        <w:t xml:space="preserve">, téléchargez</w:t>
      </w:r>
      <w:r>
        <w:t xml:space="preserve"> </w:t>
      </w:r>
      <w:r>
        <w:t xml:space="preserve">plutôt le dossier spécifique à votre pays. Ces dossiers incluent les</w:t>
      </w:r>
      <w:r>
        <w:t xml:space="preserve"> </w:t>
      </w:r>
      <w:r>
        <w:t xml:space="preserve">formulaires locaux et des indications adaptées au parcours</w:t>
      </w:r>
      <w:r>
        <w:t xml:space="preserve"> </w:t>
      </w:r>
      <w:r>
        <w:t xml:space="preserve">(Medicare LCD / SWO pour les États-Unis ; HOOF Part A et NHS Scotland</w:t>
      </w:r>
      <w:r>
        <w:t xml:space="preserve"> </w:t>
      </w:r>
      <w:r>
        <w:t xml:space="preserve">Right Decisions pour le Royaume-Uni).</w:t>
      </w:r>
    </w:p>
    <w:p>
      <w:pPr>
        <w:pStyle w:val="BodyText"/>
      </w:pPr>
      <w:r>
        <w:t xml:space="preserve">Pour le contexte complet de chaque document, consultez le chapitre</w:t>
      </w:r>
      <w:r>
        <w:t xml:space="preserve"> </w:t>
      </w:r>
      <w:r>
        <w:rPr>
          <w:i/>
          <w:iCs/>
        </w:rPr>
        <w:t xml:space="preserve">Obtenir l’accès à l’oxygène</w:t>
      </w:r>
      <w:r>
        <w:t xml:space="preserve"> </w:t>
      </w:r>
      <w:r>
        <w:t xml:space="preserve">sur clusterinfo.org.</w:t>
      </w:r>
    </w:p>
    <w:bookmarkStart w:id="9" w:name="contenu-du-dossier"/>
    <w:p>
      <w:pPr>
        <w:pStyle w:val="Heading2"/>
      </w:pPr>
      <w:r>
        <w:t xml:space="preserve">Contenu du dossier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620"/>
        <w:gridCol w:w="330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Fichier</w:t>
            </w:r>
          </w:p>
        </w:tc>
        <w:tc>
          <w:tcPr/>
          <w:p>
            <w:pPr>
              <w:pStyle w:val="Compact"/>
            </w:pPr>
            <w:r>
              <w:t xml:space="preserve">Objet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01-lettre-demande-prescription.docx</w:t>
            </w:r>
          </w:p>
        </w:tc>
        <w:tc>
          <w:tcPr/>
          <w:p>
            <w:pPr>
              <w:pStyle w:val="Compact"/>
            </w:pPr>
            <w:r>
              <w:t xml:space="preserve">Lettre éditable, de vous à votre médecin, résumant les arguments en faveur d’une prescription d’oxygène.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02-prescription-masque-reservoir.docx</w:t>
            </w:r>
          </w:p>
        </w:tc>
        <w:tc>
          <w:tcPr/>
          <w:p>
            <w:pPr>
              <w:pStyle w:val="Compact"/>
            </w:pPr>
            <w:r>
              <w:t xml:space="preserve">Modèle éditable de prescription de masque à haute concentration (MHC), à formulation neutre.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03-prescription-valve-demande.docx</w:t>
            </w:r>
          </w:p>
        </w:tc>
        <w:tc>
          <w:tcPr/>
          <w:p>
            <w:pPr>
              <w:pStyle w:val="Compact"/>
            </w:pPr>
            <w:r>
              <w:t xml:space="preserve">Modèle éditable de prescription d’oxygène par valve à la demande (DVO), à formulation neutre.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04-preuves.docx</w:t>
            </w:r>
          </w:p>
        </w:tc>
        <w:tc>
          <w:tcPr/>
          <w:p>
            <w:pPr>
              <w:pStyle w:val="Compact"/>
            </w:pPr>
            <w:r>
              <w:t xml:space="preserve">Résumés d’une page des études les plus souvent citées à l’appui de l’oxygène pour l’AVF, avec liens.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05-lettre-necessite-medicale.docx</w:t>
            </w:r>
          </w:p>
        </w:tc>
        <w:tc>
          <w:tcPr/>
          <w:p>
            <w:pPr>
              <w:pStyle w:val="Compact"/>
            </w:pPr>
            <w:r>
              <w:t xml:space="preserve">Modèle éditable de lettre de nécessité médicale, à compléter et signer par un clinicien. Utile lorsque le payeur ou le fournisseur local conteste la prescription.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06-resume-recommandations.docx</w:t>
            </w:r>
          </w:p>
        </w:tc>
        <w:tc>
          <w:tcPr/>
          <w:p>
            <w:pPr>
              <w:pStyle w:val="Compact"/>
            </w:pPr>
            <w:r>
              <w:t xml:space="preserve">Résumé d’une page des principales recommandations qui placent l’oxygène en traitement de crise de première intention (EAN, AHS, et autres).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articles-texte-integral/</w:t>
            </w:r>
          </w:p>
        </w:tc>
        <w:tc>
          <w:tcPr/>
          <w:p>
            <w:pPr>
              <w:pStyle w:val="Compact"/>
            </w:pPr>
            <w:r>
              <w:t xml:space="preserve">Dossier destiné aux PDF en libre accès des études résumées dans</w:t>
            </w:r>
            <w:r>
              <w:t xml:space="preserve"> </w:t>
            </w:r>
            <w:r>
              <w:rPr>
                <w:rStyle w:val="VerbatimChar"/>
              </w:rPr>
              <w:t xml:space="preserve">04-preuves.docx</w:t>
            </w:r>
            <w:r>
              <w:t xml:space="preserve">.</w:t>
            </w:r>
          </w:p>
        </w:tc>
      </w:tr>
    </w:tbl>
    <w:bookmarkEnd w:id="9"/>
    <w:bookmarkStart w:id="10" w:name="à-ajouter-vous-même"/>
    <w:p>
      <w:pPr>
        <w:pStyle w:val="Heading2"/>
      </w:pPr>
      <w:r>
        <w:t xml:space="preserve">À ajouter vous-même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Une copie de votre diagnostic d’AVF.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Toute recommandation locale</w:t>
      </w:r>
      <w:r>
        <w:t xml:space="preserve"> </w:t>
      </w:r>
      <w:r>
        <w:t xml:space="preserve">de votre société nationale de</w:t>
      </w:r>
      <w:r>
        <w:t xml:space="preserve"> </w:t>
      </w:r>
      <w:r>
        <w:t xml:space="preserve">céphalées ou de votre autorité médicale qui recommande l’oxygène pour</w:t>
      </w:r>
      <w:r>
        <w:t xml:space="preserve"> </w:t>
      </w:r>
      <w:r>
        <w:t xml:space="preserve">l’AVF.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Les formulaires locaux de prescription ou de remboursement</w:t>
      </w:r>
      <w:r>
        <w:t xml:space="preserve">, le</w:t>
      </w:r>
      <w:r>
        <w:t xml:space="preserve"> </w:t>
      </w:r>
      <w:r>
        <w:t xml:space="preserve">cas échéant.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Les traitements de crise antérieurs ayant échoué</w:t>
      </w:r>
      <w:r>
        <w:t xml:space="preserve">, avec dates et</w:t>
      </w:r>
      <w:r>
        <w:t xml:space="preserve"> </w:t>
      </w:r>
      <w:r>
        <w:t xml:space="preserve">résultats.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Une lettre de nécessité médicale signée</w:t>
      </w:r>
      <w:r>
        <w:t xml:space="preserve"> </w:t>
      </w:r>
      <w:r>
        <w:t xml:space="preserve">(utilisez</w:t>
      </w:r>
      <w:r>
        <w:t xml:space="preserve"> </w:t>
      </w:r>
      <w:r>
        <w:rPr>
          <w:rStyle w:val="VerbatimChar"/>
        </w:rPr>
        <w:t xml:space="preserve">05-...</w:t>
      </w:r>
      <w:r>
        <w:t xml:space="preserve"> </w:t>
      </w:r>
      <w:r>
        <w:t xml:space="preserve">comme</w:t>
      </w:r>
      <w:r>
        <w:t xml:space="preserve"> </w:t>
      </w:r>
      <w:r>
        <w:t xml:space="preserve">modèle).</w:t>
      </w:r>
    </w:p>
    <w:bookmarkEnd w:id="10"/>
    <w:bookmarkStart w:id="11" w:name="mode-demploi"/>
    <w:p>
      <w:pPr>
        <w:pStyle w:val="Heading2"/>
      </w:pPr>
      <w:r>
        <w:t xml:space="preserve">Mode d’emploi</w:t>
      </w:r>
    </w:p>
    <w:p>
      <w:pPr>
        <w:pStyle w:val="Compact"/>
        <w:numPr>
          <w:ilvl w:val="0"/>
          <w:numId w:val="1002"/>
        </w:numPr>
      </w:pPr>
      <w:r>
        <w:t xml:space="preserve">Lisez</w:t>
      </w:r>
      <w:r>
        <w:t xml:space="preserve"> </w:t>
      </w:r>
      <w:r>
        <w:rPr>
          <w:rStyle w:val="VerbatimChar"/>
        </w:rPr>
        <w:t xml:space="preserve">01-lettre-demande-prescription.docx</w:t>
      </w:r>
      <w:r>
        <w:t xml:space="preserve"> </w:t>
      </w:r>
      <w:r>
        <w:t xml:space="preserve">et complétez les</w:t>
      </w:r>
      <w:r>
        <w:t xml:space="preserve"> </w:t>
      </w:r>
      <w:r>
        <w:t xml:space="preserve">emplacements entre crochets.</w:t>
      </w:r>
    </w:p>
    <w:p>
      <w:pPr>
        <w:pStyle w:val="Compact"/>
        <w:numPr>
          <w:ilvl w:val="0"/>
          <w:numId w:val="1002"/>
        </w:numPr>
      </w:pPr>
      <w:r>
        <w:t xml:space="preserve">Imprimez ou envoyez par e-mail le dossier à votre médecin avant le</w:t>
      </w:r>
      <w:r>
        <w:t xml:space="preserve"> </w:t>
      </w:r>
      <w:r>
        <w:t xml:space="preserve">rendez-vous.</w:t>
      </w:r>
    </w:p>
    <w:p>
      <w:pPr>
        <w:pStyle w:val="Compact"/>
        <w:numPr>
          <w:ilvl w:val="0"/>
          <w:numId w:val="1002"/>
        </w:numPr>
      </w:pPr>
      <w:r>
        <w:t xml:space="preserve">Lors du rendez-vous, demandez au médecin de rédiger la prescription</w:t>
      </w:r>
      <w:r>
        <w:t xml:space="preserve"> </w:t>
      </w:r>
      <w:r>
        <w:t xml:space="preserve">en partant de</w:t>
      </w:r>
      <w:r>
        <w:t xml:space="preserve"> </w:t>
      </w:r>
      <w:r>
        <w:rPr>
          <w:rStyle w:val="VerbatimChar"/>
        </w:rPr>
        <w:t xml:space="preserve">02-prescription-masque-reservoir.docx</w:t>
      </w:r>
      <w:r>
        <w:t xml:space="preserve"> </w:t>
      </w:r>
      <w:r>
        <w:t xml:space="preserve">(ou de</w:t>
      </w:r>
      <w:r>
        <w:t xml:space="preserve"> </w:t>
      </w:r>
      <w:r>
        <w:rPr>
          <w:rStyle w:val="VerbatimChar"/>
        </w:rPr>
        <w:t xml:space="preserve">03-prescription-valve-demande.docx</w:t>
      </w:r>
      <w:r>
        <w:t xml:space="preserve">, si l’oxygène par valve à la demande est</w:t>
      </w:r>
      <w:r>
        <w:t xml:space="preserve"> </w:t>
      </w:r>
      <w:r>
        <w:t xml:space="preserve">disponible localement).</w:t>
      </w:r>
    </w:p>
    <w:p>
      <w:pPr>
        <w:pStyle w:val="Compact"/>
        <w:numPr>
          <w:ilvl w:val="0"/>
          <w:numId w:val="1002"/>
        </w:numPr>
      </w:pPr>
      <w:r>
        <w:t xml:space="preserve">Si votre payeur ou fournisseur local conteste la prescription,</w:t>
      </w:r>
      <w:r>
        <w:t xml:space="preserve"> </w:t>
      </w:r>
      <w:r>
        <w:t xml:space="preserve">remettez</w:t>
      </w:r>
      <w:r>
        <w:t xml:space="preserve"> </w:t>
      </w:r>
      <w:r>
        <w:rPr>
          <w:rStyle w:val="VerbatimChar"/>
        </w:rPr>
        <w:t xml:space="preserve">05-lettre-necessite-medicale.docx</w:t>
      </w:r>
      <w:r>
        <w:t xml:space="preserve"> </w:t>
      </w:r>
      <w:r>
        <w:t xml:space="preserve">au médecin pour qu’il</w:t>
      </w:r>
      <w:r>
        <w:t xml:space="preserve"> </w:t>
      </w:r>
      <w:r>
        <w:t xml:space="preserve">le complète et le signe.</w:t>
      </w:r>
    </w:p>
    <w:bookmarkEnd w:id="11"/>
    <w:bookmarkStart w:id="12" w:name="parcours-local"/>
    <w:p>
      <w:pPr>
        <w:pStyle w:val="Heading2"/>
      </w:pPr>
      <w:r>
        <w:t xml:space="preserve">Parcours local</w:t>
      </w:r>
    </w:p>
    <w:p>
      <w:pPr>
        <w:pStyle w:val="FirstParagraph"/>
      </w:pPr>
      <w:r>
        <w:t xml:space="preserve">Le parcours pour obtenir l’oxygène à domicile varie fortement d’un pays</w:t>
      </w:r>
      <w:r>
        <w:t xml:space="preserve"> </w:t>
      </w:r>
      <w:r>
        <w:t xml:space="preserve">à l’autre. Deux principes restent valables partout 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Comprendre qui prescrit, qui fournit et qui paie dans votre</w:t>
      </w:r>
      <w:r>
        <w:rPr>
          <w:b/>
          <w:bCs/>
        </w:rPr>
        <w:t xml:space="preserve"> </w:t>
      </w:r>
      <w:r>
        <w:rPr>
          <w:b/>
          <w:bCs/>
        </w:rPr>
        <w:t xml:space="preserve">région.</w:t>
      </w:r>
      <w:r>
        <w:t xml:space="preserve"> </w:t>
      </w:r>
      <w:r>
        <w:t xml:space="preserve">Médecins, fournisseurs et payeurs travaillent souvent sur</w:t>
      </w:r>
      <w:r>
        <w:t xml:space="preserve"> </w:t>
      </w:r>
      <w:r>
        <w:t xml:space="preserve">des hypothèses erronées. Connaître les règles locales aide.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Obtenir chaque refus par écrit.</w:t>
      </w:r>
      <w:r>
        <w:t xml:space="preserve"> </w:t>
      </w:r>
      <w:r>
        <w:t xml:space="preserve">Cela transforme un rejet vague</w:t>
      </w:r>
      <w:r>
        <w:t xml:space="preserve"> </w:t>
      </w:r>
      <w:r>
        <w:t xml:space="preserve">en un problème adressable et renforce tout recours éventuel.</w:t>
      </w:r>
    </w:p>
    <w:p>
      <w:pPr>
        <w:pStyle w:val="FirstParagraph"/>
      </w:pPr>
      <w:r>
        <w:t xml:space="preserve">Les associations de patients locales et les communautés de pairs sont</w:t>
      </w:r>
      <w:r>
        <w:t xml:space="preserve"> </w:t>
      </w:r>
      <w:r>
        <w:t xml:space="preserve">souvent le moyen le plus rapide d’apprendre le parcours spécifique à</w:t>
      </w:r>
      <w:r>
        <w:t xml:space="preserve"> </w:t>
      </w:r>
      <w:r>
        <w:t xml:space="preserve">votre pays.</w:t>
      </w:r>
    </w:p>
    <w:bookmarkEnd w:id="12"/>
    <w:bookmarkEnd w:id="13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Dossier oxygène : édition reste du monde</dc:title>
  <dc:creator/>
  <cp:keywords/>
  <dcterms:created xsi:type="dcterms:W3CDTF">2026-05-27T10:35:13Z</dcterms:created>
  <dcterms:modified xsi:type="dcterms:W3CDTF">2026-05-27T10:35:13Z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