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Recommandations sur l’oxygène dans l’algie vasculaire de la face</w:t>
      </w:r>
    </w:p>
    <w:bookmarkStart w:id="17" w:name="X97072ab61233c80f26583d51e02c8558474973d"/>
    <w:p>
      <w:pPr>
        <w:pStyle w:val="Heading1"/>
      </w:pPr>
      <w:r>
        <w:t xml:space="preserve">Recommandations sur l’oxygène dans l’algie vasculaire de la face</w:t>
      </w:r>
    </w:p>
    <w:p>
      <w:pPr>
        <w:pStyle w:val="FirstParagraph"/>
      </w:pPr>
      <w:r>
        <w:t xml:space="preserve">Résumé d’une page des principales recommandations qui préconisent</w:t>
      </w:r>
      <w:r>
        <w:t xml:space="preserve"> </w:t>
      </w:r>
      <w:r>
        <w:t xml:space="preserve">l’oxygène à haut débit en traitement de crise de première intention</w:t>
      </w:r>
      <w:r>
        <w:t xml:space="preserve"> </w:t>
      </w:r>
      <w:r>
        <w:t xml:space="preserve">pour l’algie vasculaire de la face (AVF).</w:t>
      </w:r>
    </w:p>
    <w:bookmarkStart w:id="9" w:name="european-academy-of-neurology-ean"/>
    <w:p>
      <w:pPr>
        <w:pStyle w:val="Heading2"/>
      </w:pPr>
      <w:r>
        <w:t xml:space="preserve">European Academy of Neurology (EAN)</w:t>
      </w:r>
    </w:p>
    <w:p>
      <w:pPr>
        <w:pStyle w:val="BlockText"/>
      </w:pPr>
      <w:r>
        <w:t xml:space="preserve">“La première option pour le traitement des crises aiguës d’algie</w:t>
      </w:r>
      <w:r>
        <w:t xml:space="preserve"> </w:t>
      </w:r>
      <w:r>
        <w:t xml:space="preserve">vasculaire de la face devrait être l’injection sous-cutanée de</w:t>
      </w:r>
      <w:r>
        <w:t xml:space="preserve"> </w:t>
      </w:r>
      <w:r>
        <w:t xml:space="preserve">sumatriptan 6 mg ou l’inhalation d’oxygène à 100 % à au moins</w:t>
      </w:r>
      <w:r>
        <w:t xml:space="preserve"> </w:t>
      </w:r>
      <w:r>
        <w:t xml:space="preserve">12 L/min pendant 15 min.”</w:t>
      </w:r>
    </w:p>
    <w:bookmarkEnd w:id="9"/>
    <w:bookmarkStart w:id="10" w:name="american-headache-society-ahs"/>
    <w:p>
      <w:pPr>
        <w:pStyle w:val="Heading2"/>
      </w:pPr>
      <w:r>
        <w:t xml:space="preserve">American Headache Society (AHS)</w:t>
      </w:r>
    </w:p>
    <w:p>
      <w:pPr>
        <w:pStyle w:val="FirstParagraph"/>
      </w:pPr>
      <w:r>
        <w:t xml:space="preserve">L’oxygène à haut débit (généralement 6 à 12 L/min via un masque à</w:t>
      </w:r>
      <w:r>
        <w:t xml:space="preserve"> </w:t>
      </w:r>
      <w:r>
        <w:t xml:space="preserve">haute concentration) est reconnu comme</w:t>
      </w:r>
      <w:r>
        <w:t xml:space="preserve"> </w:t>
      </w:r>
      <w:r>
        <w:rPr>
          <w:b/>
          <w:bCs/>
        </w:rPr>
        <w:t xml:space="preserve">traitement de crise de</w:t>
      </w:r>
      <w:r>
        <w:rPr>
          <w:b/>
          <w:bCs/>
        </w:rPr>
        <w:t xml:space="preserve"> </w:t>
      </w:r>
      <w:r>
        <w:rPr>
          <w:b/>
          <w:bCs/>
        </w:rPr>
        <w:t xml:space="preserve">niveau A</w:t>
      </w:r>
      <w:r>
        <w:t xml:space="preserve"> </w:t>
      </w:r>
      <w:r>
        <w:t xml:space="preserve">pour l’AVF.</w:t>
      </w:r>
    </w:p>
    <w:bookmarkEnd w:id="10"/>
    <w:bookmarkStart w:id="11" w:name="nice-cg150-royaume-uni"/>
    <w:p>
      <w:pPr>
        <w:pStyle w:val="Heading2"/>
      </w:pPr>
      <w:r>
        <w:t xml:space="preserve">NICE CG150 (Royaume-Uni)</w:t>
      </w:r>
    </w:p>
    <w:p>
      <w:pPr>
        <w:pStyle w:val="BlockText"/>
      </w:pPr>
      <w:r>
        <w:t xml:space="preserve">“Proposer de l’oxygène et/ou un triptan par voie sous-cutanée ou</w:t>
      </w:r>
      <w:r>
        <w:t xml:space="preserve"> </w:t>
      </w:r>
      <w:r>
        <w:t xml:space="preserve">nasale pour le traitement de crise de l’algie vasculaire de la face.”</w:t>
      </w:r>
    </w:p>
    <w:p>
      <w:pPr>
        <w:pStyle w:val="BlockText"/>
      </w:pPr>
      <w:r>
        <w:t xml:space="preserve">“Utiliser de l’oxygène à 100 % à un débit d’au moins 12 litres par</w:t>
      </w:r>
      <w:r>
        <w:t xml:space="preserve"> </w:t>
      </w:r>
      <w:r>
        <w:t xml:space="preserve">minute avec un masque à haute concentration et un sac, et organiser</w:t>
      </w:r>
      <w:r>
        <w:t xml:space="preserve"> </w:t>
      </w:r>
      <w:r>
        <w:t xml:space="preserve">la fourniture d’oxygène à domicile et en ambulatoire.”</w:t>
      </w:r>
    </w:p>
    <w:bookmarkEnd w:id="11"/>
    <w:bookmarkStart w:id="13" w:name="X53d40049a10b06743d648c1dbb2ebf71764e131"/>
    <w:p>
      <w:pPr>
        <w:pStyle w:val="Heading2"/>
      </w:pPr>
      <w:r>
        <w:t xml:space="preserve">NHS Scotland : Right Decisions for cluster headache</w:t>
      </w:r>
    </w:p>
    <w:p>
      <w:pPr>
        <w:pStyle w:val="FirstParagraph"/>
      </w:pPr>
      <w:r>
        <w:t xml:space="preserve">Les recommandations les plus accessibles aux patients concernant le</w:t>
      </w:r>
      <w:r>
        <w:t xml:space="preserve"> </w:t>
      </w:r>
      <w:r>
        <w:t xml:space="preserve">débit d’oxygène et les modalités d’utilisation :</w:t>
      </w:r>
    </w:p>
    <w:p>
      <w:pPr>
        <w:pStyle w:val="Compact"/>
        <w:numPr>
          <w:ilvl w:val="0"/>
          <w:numId w:val="1001"/>
        </w:numPr>
      </w:pPr>
      <w:r>
        <w:t xml:space="preserve">Oxygène à 100 % à</w:t>
      </w:r>
      <w:r>
        <w:t xml:space="preserve"> </w:t>
      </w:r>
      <w:r>
        <w:rPr>
          <w:b/>
          <w:bCs/>
        </w:rPr>
        <w:t xml:space="preserve">10–15 L/min pendant 15 à 20 minutes</w:t>
      </w:r>
      <w:r>
        <w:t xml:space="preserve"> </w:t>
      </w:r>
      <w:r>
        <w:t xml:space="preserve">via un</w:t>
      </w:r>
      <w:r>
        <w:t xml:space="preserve"> </w:t>
      </w:r>
      <w:r>
        <w:t xml:space="preserve">masque à haute concentration.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Pas de limite maximale d’utilisation.</w:t>
      </w:r>
    </w:p>
    <w:p>
      <w:pPr>
        <w:pStyle w:val="Compact"/>
        <w:numPr>
          <w:ilvl w:val="0"/>
          <w:numId w:val="1001"/>
        </w:numPr>
      </w:pPr>
      <w:r>
        <w:t xml:space="preserve">Une</w:t>
      </w:r>
      <w:r>
        <w:t xml:space="preserve"> </w:t>
      </w:r>
      <w:r>
        <w:rPr>
          <w:b/>
          <w:bCs/>
        </w:rPr>
        <w:t xml:space="preserve">valve à la demande</w:t>
      </w:r>
      <w:r>
        <w:t xml:space="preserve"> </w:t>
      </w:r>
      <w:r>
        <w:t xml:space="preserve">est disponible sur demande.</w:t>
      </w:r>
    </w:p>
    <w:p>
      <w:pPr>
        <w:pStyle w:val="FirstParagraph"/>
      </w:pPr>
      <w:hyperlink r:id="rId12">
        <w:r>
          <w:rPr>
            <w:rStyle w:val="Hyperlink"/>
          </w:rPr>
          <w:t xml:space="preserve">https://www.rightdecisions.scot.nhs.uk/neurology-pathways/headache/9-cluster-headache-guidance/</w:t>
        </w:r>
      </w:hyperlink>
    </w:p>
    <w:bookmarkEnd w:id="13"/>
    <w:bookmarkStart w:id="15" w:name="états-unis-medicare-lcd-l33797"/>
    <w:p>
      <w:pPr>
        <w:pStyle w:val="Heading2"/>
      </w:pPr>
      <w:r>
        <w:t xml:space="preserve">États-Unis : Medicare LCD L33797</w:t>
      </w:r>
    </w:p>
    <w:p>
      <w:pPr>
        <w:pStyle w:val="FirstParagraph"/>
      </w:pPr>
      <w:r>
        <w:t xml:space="preserve">L’AVF est répertoriée comme une condition admissible de</w:t>
      </w:r>
      <w:r>
        <w:t xml:space="preserve"> </w:t>
      </w:r>
      <w:r>
        <w:rPr>
          <w:b/>
          <w:bCs/>
        </w:rPr>
        <w:t xml:space="preserve">Groupe III</w:t>
      </w:r>
      <w:r>
        <w:t xml:space="preserve"> </w:t>
      </w:r>
      <w:r>
        <w:t xml:space="preserve">pour l’oxygénothérapie à domicile dans la Local Coverage</w:t>
      </w:r>
      <w:r>
        <w:t xml:space="preserve"> </w:t>
      </w:r>
      <w:r>
        <w:t xml:space="preserve">Determination L33797 de Medicare. Mentionnée ici à titre de</w:t>
      </w:r>
      <w:r>
        <w:t xml:space="preserve"> </w:t>
      </w:r>
      <w:r>
        <w:t xml:space="preserve">référence croisée ; la documentation justificative de la LCD se</w:t>
      </w:r>
      <w:r>
        <w:t xml:space="preserve"> </w:t>
      </w:r>
      <w:r>
        <w:t xml:space="preserve">trouve dans le dossier états-unien.</w:t>
      </w:r>
    </w:p>
    <w:p>
      <w:pPr>
        <w:pStyle w:val="BodyText"/>
      </w:pPr>
      <w:hyperlink r:id="rId14">
        <w:r>
          <w:rPr>
            <w:rStyle w:val="Hyperlink"/>
          </w:rPr>
          <w:t xml:space="preserve">https://www.cms.gov/medicare-coverage-database/view/lcd.aspx?lcdid=33797</w:t>
        </w:r>
      </w:hyperlink>
    </w:p>
    <w:bookmarkEnd w:id="15"/>
    <w:bookmarkStart w:id="16" w:name="X27c2771560a0d739cfc7bf94b04ed7f1d1d7361"/>
    <w:p>
      <w:pPr>
        <w:pStyle w:val="Heading2"/>
      </w:pPr>
      <w:r>
        <w:t xml:space="preserve">Cherchez les recommandations de votre pays</w:t>
      </w:r>
    </w:p>
    <w:p>
      <w:pPr>
        <w:pStyle w:val="FirstParagraph"/>
      </w:pPr>
      <w:r>
        <w:t xml:space="preserve">Si votre pays dispose d’une société savante nationale ou d’une</w:t>
      </w:r>
      <w:r>
        <w:t xml:space="preserve"> </w:t>
      </w:r>
      <w:r>
        <w:t xml:space="preserve">autorité médicale ayant publié des recommandations sur l’AVF, citez-la</w:t>
      </w:r>
      <w:r>
        <w:t xml:space="preserve"> </w:t>
      </w:r>
      <w:r>
        <w:t xml:space="preserve">également. Exemples (liste non exhaustive) :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Allemagne :</w:t>
      </w:r>
      <w:r>
        <w:t xml:space="preserve"> </w:t>
      </w:r>
      <w:r>
        <w:t xml:space="preserve">Deutsche Migräne- und Kopfschmerzgesellschaft (DMKG).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France :</w:t>
      </w:r>
      <w:r>
        <w:t xml:space="preserve"> </w:t>
      </w:r>
      <w:r>
        <w:t xml:space="preserve">Société Française d’Étude des Migraines et Céphalées</w:t>
      </w:r>
      <w:r>
        <w:t xml:space="preserve"> </w:t>
      </w:r>
      <w:r>
        <w:t xml:space="preserve">(SFEMC).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Italie :</w:t>
      </w:r>
      <w:r>
        <w:t xml:space="preserve"> </w:t>
      </w:r>
      <w:r>
        <w:t xml:space="preserve">Società Italiana per lo Studio delle Cefalee (SISC).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Espagne :</w:t>
      </w:r>
      <w:r>
        <w:t xml:space="preserve"> </w:t>
      </w:r>
      <w:r>
        <w:t xml:space="preserve">Sociedad Española de Neurología (SEN).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Canada :</w:t>
      </w:r>
      <w:r>
        <w:t xml:space="preserve"> </w:t>
      </w:r>
      <w:r>
        <w:t xml:space="preserve">Canadian Headache Society.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Australie / Nouvelle-Zélande :</w:t>
      </w:r>
      <w:r>
        <w:t xml:space="preserve"> </w:t>
      </w:r>
      <w:r>
        <w:t xml:space="preserve">Neurology Society of Australia.</w:t>
      </w:r>
    </w:p>
    <w:p>
      <w:pPr>
        <w:pStyle w:val="FirstParagraph"/>
      </w:pPr>
      <w:r>
        <w:t xml:space="preserve">La plupart des sociétés savantes nationales spécialisées dans les</w:t>
      </w:r>
      <w:r>
        <w:t xml:space="preserve"> </w:t>
      </w:r>
      <w:r>
        <w:t xml:space="preserve">céphalées soutiennent la position de l’EAN et/ou de l’AHS qui</w:t>
      </w:r>
      <w:r>
        <w:t xml:space="preserve"> </w:t>
      </w:r>
      <w:r>
        <w:t xml:space="preserve">recommande l’oxygène comme traitement de crise de première intention.</w:t>
      </w:r>
    </w:p>
    <w:bookmarkEnd w:id="16"/>
    <w:bookmarkEnd w:id="17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1"/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Relationship Type="http://schemas.openxmlformats.org/officeDocument/2006/relationships/hyperlink" Id="rId14" Target="https://www.cms.gov/medicare-coverage-database/view/lcd.aspx?lcdid=33797" TargetMode="External" /><Relationship Type="http://schemas.openxmlformats.org/officeDocument/2006/relationships/hyperlink" Id="rId12" Target="https://www.rightdecisions.scot.nhs.uk/neurology-pathways/headache/9-cluster-headache-guidance/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4" Target="https://www.cms.gov/medicare-coverage-database/view/lcd.aspx?lcdid=33797" TargetMode="External" /><Relationship Type="http://schemas.openxmlformats.org/officeDocument/2006/relationships/hyperlink" Id="rId12" Target="https://www.rightdecisions.scot.nhs.uk/neurology-pathways/headache/9-cluster-headache-guidance/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Recommandations sur l’oxygène dans l’algie vasculaire de la face</dc:title>
  <dc:creator/>
  <cp:keywords/>
  <dcterms:created xsi:type="dcterms:W3CDTF">2026-05-27T10:35:13Z</dcterms:created>
  <dcterms:modified xsi:type="dcterms:W3CDTF">2026-05-27T10:35:13Z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