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Title"/>
      </w:pPr>
      <w:r>
        <w:t xml:space="preserve">Lettre de nécessité médicale : modèle à l’attention du médecin prescripteur</w:t>
      </w:r>
    </w:p>
    <w:bookmarkStart w:id="14" w:name="lettre-de-nécessité-médicale"/>
    <w:p>
      <w:pPr>
        <w:pStyle w:val="Heading1"/>
      </w:pPr>
      <w:r>
        <w:t xml:space="preserve">Lettre de nécessité médicale</w:t>
      </w:r>
    </w:p>
    <w:p>
      <w:pPr>
        <w:pStyle w:val="FirstParagraph"/>
      </w:pPr>
      <w:r>
        <w:rPr>
          <w:i/>
          <w:iCs/>
        </w:rPr>
        <w:t xml:space="preserve">Ceci est un modèle destiné au médecin prescripteur. Complétez les</w:t>
      </w:r>
      <w:r>
        <w:rPr>
          <w:i/>
          <w:iCs/>
        </w:rPr>
        <w:t xml:space="preserve"> </w:t>
      </w:r>
      <w:r>
        <w:rPr>
          <w:i/>
          <w:iCs/>
        </w:rPr>
        <w:t xml:space="preserve">champs entre crochets, signez et datez.</w:t>
      </w:r>
    </w:p>
    <w:p>
      <w:r>
        <w:pict>
          <v:rect style="width:0;height:1.5pt" o:hralign="center" o:hrstd="t" o:hr="t"/>
        </w:pict>
      </w:r>
    </w:p>
    <w:p>
      <w:pPr>
        <w:pStyle w:val="FirstParagraph"/>
      </w:pPr>
      <w:r>
        <w:rPr>
          <w:b/>
          <w:bCs/>
        </w:rPr>
        <w:t xml:space="preserve">[En-tête du cabinet]</w:t>
      </w:r>
    </w:p>
    <w:p>
      <w:pPr>
        <w:pStyle w:val="BodyText"/>
      </w:pPr>
      <w:r>
        <w:rPr>
          <w:b/>
          <w:bCs/>
        </w:rPr>
        <w:t xml:space="preserve">Date :</w:t>
      </w:r>
      <w:r>
        <w:t xml:space="preserve"> </w:t>
      </w:r>
      <w:r>
        <w:t xml:space="preserve">[Date]</w:t>
      </w:r>
    </w:p>
    <w:p>
      <w:pPr>
        <w:pStyle w:val="BodyText"/>
      </w:pPr>
      <w:r>
        <w:rPr>
          <w:b/>
          <w:bCs/>
        </w:rPr>
        <w:t xml:space="preserve">À qui de droit</w:t>
      </w:r>
      <w:r>
        <w:t xml:space="preserve"> </w:t>
      </w:r>
      <w:r>
        <w:t xml:space="preserve">(Fournisseur et/ou organisme payeur)</w:t>
      </w:r>
    </w:p>
    <w:p>
      <w:r>
        <w:pict>
          <v:rect style="width:0;height:1.5pt" o:hralign="center" o:hrstd="t" o:hr="t"/>
        </w:pict>
      </w:r>
    </w:p>
    <w:bookmarkStart w:id="13" w:name="Xd193d3022f377a090aea2ee51b30a70aa250250"/>
    <w:p>
      <w:pPr>
        <w:pStyle w:val="Heading2"/>
      </w:pPr>
      <w:r>
        <w:t xml:space="preserve">Objet : [Nom complet du patient], né(e) le [Date de naissance], nécessité médicale d’une oxygénothérapie à haut débit à domicile</w:t>
      </w:r>
    </w:p>
    <w:p>
      <w:pPr>
        <w:pStyle w:val="FirstParagraph"/>
      </w:pPr>
      <w:r>
        <w:t xml:space="preserve">Je suis le médecin traitant de [Nom du patient], qui présente un</w:t>
      </w:r>
      <w:r>
        <w:t xml:space="preserve"> </w:t>
      </w:r>
      <w:r>
        <w:t xml:space="preserve">diagnostic confirmé d’algie vasculaire de la face (AVF) [épisodique /</w:t>
      </w:r>
      <w:r>
        <w:t xml:space="preserve"> </w:t>
      </w:r>
      <w:r>
        <w:t xml:space="preserve">chronique] (CIM-10 G44.0[__]). L’oxygénothérapie à haut débit à domicile</w:t>
      </w:r>
      <w:r>
        <w:t xml:space="preserve"> </w:t>
      </w:r>
      <w:r>
        <w:t xml:space="preserve">est médicalement nécessaire pour stopper les crises de ce patient et</w:t>
      </w:r>
      <w:r>
        <w:t xml:space="preserve"> </w:t>
      </w:r>
      <w:r>
        <w:t xml:space="preserve">préserver son fonctionnement quotidien.</w:t>
      </w:r>
    </w:p>
    <w:bookmarkStart w:id="9" w:name="synthèse-clinique"/>
    <w:p>
      <w:pPr>
        <w:pStyle w:val="Heading3"/>
      </w:pPr>
      <w:r>
        <w:t xml:space="preserve">Synthèse clinique</w:t>
      </w:r>
    </w:p>
    <w:p>
      <w:pPr>
        <w:pStyle w:val="FirstParagraph"/>
      </w:pPr>
      <w:r>
        <w:t xml:space="preserve">[Nom du patient] répond aux critères ICHD-3 de l’AVF, avec [N] crises</w:t>
      </w:r>
      <w:r>
        <w:t xml:space="preserve"> </w:t>
      </w:r>
      <w:r>
        <w:t xml:space="preserve">par jour, d’une durée de [durée] minutes chacune, caractérisées par</w:t>
      </w:r>
      <w:r>
        <w:t xml:space="preserve"> </w:t>
      </w:r>
      <w:r>
        <w:t xml:space="preserve">une douleur unilatérale orbitaire ou temporale sévère accompagnée de</w:t>
      </w:r>
      <w:r>
        <w:t xml:space="preserve"> </w:t>
      </w:r>
      <w:r>
        <w:t xml:space="preserve">signes autonomes ipsilatéraux (larmoiement, injection conjonctivale,</w:t>
      </w:r>
      <w:r>
        <w:t xml:space="preserve"> </w:t>
      </w:r>
      <w:r>
        <w:t xml:space="preserve">rhinorrhée, congestion nasale, œdème palpébral et/ou agitation pendant</w:t>
      </w:r>
      <w:r>
        <w:t xml:space="preserve"> </w:t>
      </w:r>
      <w:r>
        <w:t xml:space="preserve">les crises). [Ajouter le schéma et la durée du cycle si pertinent.]</w:t>
      </w:r>
    </w:p>
    <w:p>
      <w:pPr>
        <w:pStyle w:val="BodyText"/>
      </w:pPr>
      <w:r>
        <w:t xml:space="preserve">Impact fonctionnel : les crises ont entraîné [jours de travail manqués</w:t>
      </w:r>
      <w:r>
        <w:t xml:space="preserve"> </w:t>
      </w:r>
      <w:r>
        <w:t xml:space="preserve">/ sommeil perturbé / impossibilité de conduire / passages aux</w:t>
      </w:r>
      <w:r>
        <w:t xml:space="preserve"> </w:t>
      </w:r>
      <w:r>
        <w:t xml:space="preserve">urgences ; à préciser].</w:t>
      </w:r>
    </w:p>
    <w:p>
      <w:pPr>
        <w:pStyle w:val="BodyText"/>
      </w:pPr>
      <w:r>
        <w:t xml:space="preserve">[Traitements de crise essayés : médicament, dose, dates, réponse, effets</w:t>
      </w:r>
      <w:r>
        <w:t xml:space="preserve"> </w:t>
      </w:r>
      <w:r>
        <w:t xml:space="preserve">indésirables. Particulièrement pertinent si un parcours thérapeutique</w:t>
      </w:r>
      <w:r>
        <w:t xml:space="preserve"> </w:t>
      </w:r>
      <w:r>
        <w:t xml:space="preserve">par étapes est exigé.]</w:t>
      </w:r>
    </w:p>
    <w:bookmarkEnd w:id="9"/>
    <w:bookmarkStart w:id="10" w:name="Xd0e16f32070dad8556579120eb06ded264eb6bf"/>
    <w:p>
      <w:pPr>
        <w:pStyle w:val="Heading3"/>
      </w:pPr>
      <w:r>
        <w:t xml:space="preserve">Pourquoi l’oxygène, et pourquoi à haut débit</w:t>
      </w:r>
    </w:p>
    <w:p>
      <w:pPr>
        <w:pStyle w:val="FirstParagraph"/>
      </w:pPr>
      <w:r>
        <w:t xml:space="preserve">L’inhalation d’oxygène à haut débit via un masque à haute concentration</w:t>
      </w:r>
      <w:r>
        <w:t xml:space="preserve"> </w:t>
      </w:r>
      <w:r>
        <w:t xml:space="preserve">(MHC) est reconnue comme traitement de crise de première intention de</w:t>
      </w:r>
      <w:r>
        <w:t xml:space="preserve"> </w:t>
      </w:r>
      <w:r>
        <w:t xml:space="preserve">l’AVF dans les principales recommandations :</w:t>
      </w:r>
    </w:p>
    <w:p>
      <w:pPr>
        <w:pStyle w:val="Compact"/>
        <w:numPr>
          <w:ilvl w:val="0"/>
          <w:numId w:val="1001"/>
        </w:numPr>
      </w:pPr>
      <w:r>
        <w:rPr>
          <w:b/>
          <w:bCs/>
        </w:rPr>
        <w:t xml:space="preserve">European Academy of Neurology (EAN) :</w:t>
      </w:r>
      <w:r>
        <w:t xml:space="preserve"> </w:t>
      </w:r>
      <w:r>
        <w:rPr>
          <w:i/>
          <w:iCs/>
        </w:rPr>
        <w:t xml:space="preserve">“The first option for the</w:t>
      </w:r>
      <w:r>
        <w:rPr>
          <w:i/>
          <w:iCs/>
        </w:rPr>
        <w:t xml:space="preserve"> </w:t>
      </w:r>
      <w:r>
        <w:rPr>
          <w:i/>
          <w:iCs/>
        </w:rPr>
        <w:t xml:space="preserve">treatment of acute attacks of cluster headache should be subcutaneous</w:t>
      </w:r>
      <w:r>
        <w:rPr>
          <w:i/>
          <w:iCs/>
        </w:rPr>
        <w:t xml:space="preserve"> </w:t>
      </w:r>
      <w:r>
        <w:rPr>
          <w:i/>
          <w:iCs/>
        </w:rPr>
        <w:t xml:space="preserve">injection of sumatriptan 6 mg or the inhalation of 100% oxygen with</w:t>
      </w:r>
      <w:r>
        <w:rPr>
          <w:i/>
          <w:iCs/>
        </w:rPr>
        <w:t xml:space="preserve"> </w:t>
      </w:r>
      <w:r>
        <w:rPr>
          <w:i/>
          <w:iCs/>
        </w:rPr>
        <w:t xml:space="preserve">at least 12 L/min over 15 min.”</w:t>
      </w:r>
    </w:p>
    <w:p>
      <w:pPr>
        <w:pStyle w:val="Compact"/>
        <w:numPr>
          <w:ilvl w:val="0"/>
          <w:numId w:val="1001"/>
        </w:numPr>
      </w:pPr>
      <w:r>
        <w:rPr>
          <w:b/>
          <w:bCs/>
        </w:rPr>
        <w:t xml:space="preserve">American Headache Society (AHS).</w:t>
      </w:r>
      <w:r>
        <w:t xml:space="preserve"> </w:t>
      </w:r>
      <w:r>
        <w:t xml:space="preserve">Traitement de crise de niveau A.</w:t>
      </w:r>
    </w:p>
    <w:p>
      <w:pPr>
        <w:pStyle w:val="Compact"/>
        <w:numPr>
          <w:ilvl w:val="0"/>
          <w:numId w:val="1001"/>
        </w:numPr>
      </w:pPr>
      <w:r>
        <w:t xml:space="preserve">[Ajouter la recommandation nationale locale, le cas échéant.]</w:t>
      </w:r>
    </w:p>
    <w:p>
      <w:pPr>
        <w:pStyle w:val="FirstParagraph"/>
      </w:pPr>
      <w:r>
        <w:t xml:space="preserve">Les données probantes incluent Cohen et al. (JAMA, 2009), un essai</w:t>
      </w:r>
      <w:r>
        <w:t xml:space="preserve"> </w:t>
      </w:r>
      <w:r>
        <w:t xml:space="preserve">randomisé en double aveugle contre placebo montrant une absence de</w:t>
      </w:r>
      <w:r>
        <w:t xml:space="preserve"> </w:t>
      </w:r>
      <w:r>
        <w:t xml:space="preserve">douleur à 15 minutes pour 78 % des crises traitées par oxygène contre</w:t>
      </w:r>
      <w:r>
        <w:t xml:space="preserve"> </w:t>
      </w:r>
      <w:r>
        <w:t xml:space="preserve">20 % sous air placebo ; Medrea et al. (Journal of Headache and Pain,</w:t>
      </w:r>
      <w:r>
        <w:t xml:space="preserve"> </w:t>
      </w:r>
      <w:r>
        <w:t xml:space="preserve">2022), une méta-analyse en réseau de 13 essais randomisés contrôlés</w:t>
      </w:r>
      <w:r>
        <w:t xml:space="preserve"> </w:t>
      </w:r>
      <w:r>
        <w:t xml:space="preserve">dans laquelle l’oxygène à haut débit s’est classé comme le traitement</w:t>
      </w:r>
      <w:r>
        <w:t xml:space="preserve"> </w:t>
      </w:r>
      <w:r>
        <w:t xml:space="preserve">de crise le plus efficace ; et Robbins et al.,</w:t>
      </w:r>
      <w:r>
        <w:t xml:space="preserve"> </w:t>
      </w:r>
      <w:r>
        <w:rPr>
          <w:i/>
          <w:iCs/>
        </w:rPr>
        <w:t xml:space="preserve">Treatment of Cluster</w:t>
      </w:r>
      <w:r>
        <w:rPr>
          <w:i/>
          <w:iCs/>
        </w:rPr>
        <w:t xml:space="preserve"> </w:t>
      </w:r>
      <w:r>
        <w:rPr>
          <w:i/>
          <w:iCs/>
        </w:rPr>
        <w:t xml:space="preserve">Headache: The American Headache Society Evidence-Based Guidelines</w:t>
      </w:r>
      <w:r>
        <w:t xml:space="preserve"> </w:t>
      </w:r>
      <w:r>
        <w:t xml:space="preserve">(Headache, 2016;56:1093–1106), qui classe l’oxygène à haut débit comme</w:t>
      </w:r>
      <w:r>
        <w:t xml:space="preserve"> </w:t>
      </w:r>
      <w:r>
        <w:t xml:space="preserve">traitement de crise de niveau A.</w:t>
      </w:r>
    </w:p>
    <w:bookmarkEnd w:id="10"/>
    <w:bookmarkStart w:id="11" w:name="prescription"/>
    <w:p>
      <w:pPr>
        <w:pStyle w:val="Heading3"/>
      </w:pPr>
      <w:r>
        <w:t xml:space="preserve">Prescription</w:t>
      </w:r>
    </w:p>
    <w:p>
      <w:pPr>
        <w:pStyle w:val="Compact"/>
        <w:numPr>
          <w:ilvl w:val="0"/>
          <w:numId w:val="1002"/>
        </w:numPr>
      </w:pPr>
      <w:r>
        <w:t xml:space="preserve">Oxygène à 100 % à 15 L/min via masque à haute concentration, jusqu’à</w:t>
      </w:r>
      <w:r>
        <w:t xml:space="preserve"> </w:t>
      </w:r>
      <w:r>
        <w:t xml:space="preserve">20 minutes par crise, selon les besoins (au besoin, fréquence</w:t>
      </w:r>
      <w:r>
        <w:t xml:space="preserve"> </w:t>
      </w:r>
      <w:r>
        <w:t xml:space="preserve">déterminée par le nombre de crises par jour).</w:t>
      </w:r>
    </w:p>
    <w:p>
      <w:pPr>
        <w:pStyle w:val="Compact"/>
        <w:numPr>
          <w:ilvl w:val="0"/>
          <w:numId w:val="1002"/>
        </w:numPr>
      </w:pPr>
      <w:r>
        <w:rPr>
          <w:b/>
          <w:bCs/>
        </w:rPr>
        <w:t xml:space="preserve">Une grande bouteille d’oxygène à domicile et une bouteille</w:t>
      </w:r>
      <w:r>
        <w:rPr>
          <w:b/>
          <w:bCs/>
        </w:rPr>
        <w:t xml:space="preserve"> </w:t>
      </w:r>
      <w:r>
        <w:rPr>
          <w:b/>
          <w:bCs/>
        </w:rPr>
        <w:t xml:space="preserve">portable.</w:t>
      </w:r>
      <w:r>
        <w:t xml:space="preserve"> </w:t>
      </w:r>
      <w:r>
        <w:t xml:space="preserve">Le patient a besoin des deux : la bouteille à domicile</w:t>
      </w:r>
      <w:r>
        <w:t xml:space="preserve"> </w:t>
      </w:r>
      <w:r>
        <w:t xml:space="preserve">pour les crises nocturnes et au domicile, et la bouteille portable</w:t>
      </w:r>
      <w:r>
        <w:t xml:space="preserve"> </w:t>
      </w:r>
      <w:r>
        <w:t xml:space="preserve">pour les crises survenant au travail ou hors du domicile. Les crises</w:t>
      </w:r>
      <w:r>
        <w:t xml:space="preserve"> </w:t>
      </w:r>
      <w:r>
        <w:t xml:space="preserve">sont imprévisibles et ne peuvent pas être différées.</w:t>
      </w:r>
    </w:p>
    <w:p>
      <w:pPr>
        <w:pStyle w:val="Compact"/>
        <w:numPr>
          <w:ilvl w:val="0"/>
          <w:numId w:val="1002"/>
        </w:numPr>
      </w:pPr>
      <w:r>
        <w:t xml:space="preserve">Masque à haute concentration et tuyau d’oxygène.</w:t>
      </w:r>
    </w:p>
    <w:p>
      <w:pPr>
        <w:pStyle w:val="Compact"/>
        <w:numPr>
          <w:ilvl w:val="0"/>
          <w:numId w:val="1002"/>
        </w:numPr>
      </w:pPr>
      <w:r>
        <w:t xml:space="preserve">[Ajouter la spécification d’une valve à la demande si demandée.]</w:t>
      </w:r>
    </w:p>
    <w:p>
      <w:pPr>
        <w:pStyle w:val="Compact"/>
        <w:numPr>
          <w:ilvl w:val="0"/>
          <w:numId w:val="1002"/>
        </w:numPr>
      </w:pPr>
      <w:r>
        <w:rPr>
          <w:b/>
          <w:bCs/>
        </w:rPr>
        <w:t xml:space="preserve">Durée du besoin :</w:t>
      </w:r>
      <w:r>
        <w:t xml:space="preserve"> </w:t>
      </w:r>
      <w:r>
        <w:t xml:space="preserve">12 mois, en continu. L’AVF est une affection à</w:t>
      </w:r>
      <w:r>
        <w:t xml:space="preserve"> </w:t>
      </w:r>
      <w:r>
        <w:t xml:space="preserve">vie avec des cycles actifs récurrents indéfiniment.</w:t>
      </w:r>
    </w:p>
    <w:bookmarkEnd w:id="11"/>
    <w:bookmarkStart w:id="12" w:name="Xa0851a2afc283964ae2360667896c5248c3b0ed"/>
    <w:p>
      <w:pPr>
        <w:pStyle w:val="Heading3"/>
      </w:pPr>
      <w:r>
        <w:t xml:space="preserve">Pourquoi cela est médicalement nécessaire</w:t>
      </w:r>
    </w:p>
    <w:p>
      <w:pPr>
        <w:pStyle w:val="FirstParagraph"/>
      </w:pPr>
      <w:r>
        <w:t xml:space="preserve">Sans traitement de crise efficace, le patient subit plusieurs fois par</w:t>
      </w:r>
      <w:r>
        <w:t xml:space="preserve"> </w:t>
      </w:r>
      <w:r>
        <w:t xml:space="preserve">jour une douleur sévère et invalidante, avec un impact substantiel sur</w:t>
      </w:r>
      <w:r>
        <w:t xml:space="preserve"> </w:t>
      </w:r>
      <w:r>
        <w:t xml:space="preserve">le sommeil, le fonctionnement et la qualité de vie. Les triptans,</w:t>
      </w:r>
      <w:r>
        <w:t xml:space="preserve"> </w:t>
      </w:r>
      <w:r>
        <w:t xml:space="preserve">l’autre traitement de crise de première intention reconnu, ne</w:t>
      </w:r>
      <w:r>
        <w:t xml:space="preserve"> </w:t>
      </w:r>
      <w:r>
        <w:t xml:space="preserve">conviennent pas à ce patient : [contre-indiqués en raison d’un risque</w:t>
      </w:r>
      <w:r>
        <w:t xml:space="preserve"> </w:t>
      </w:r>
      <w:r>
        <w:t xml:space="preserve">cardiovasculaire / d’une cardiopathie ischémique / d’une hypertension</w:t>
      </w:r>
      <w:r>
        <w:t xml:space="preserve"> </w:t>
      </w:r>
      <w:r>
        <w:t xml:space="preserve">non contrôlée],</w:t>
      </w:r>
      <w:r>
        <w:t xml:space="preserve"> </w:t>
      </w:r>
      <w:r>
        <w:rPr>
          <w:i/>
          <w:iCs/>
        </w:rPr>
        <w:t xml:space="preserve">ou</w:t>
      </w:r>
      <w:r>
        <w:t xml:space="preserve"> </w:t>
      </w:r>
      <w:r>
        <w:t xml:space="preserve">[essayés et inefficaces : médicament, dose,</w:t>
      </w:r>
      <w:r>
        <w:t xml:space="preserve"> </w:t>
      </w:r>
      <w:r>
        <w:t xml:space="preserve">dates],</w:t>
      </w:r>
      <w:r>
        <w:t xml:space="preserve"> </w:t>
      </w:r>
      <w:r>
        <w:rPr>
          <w:i/>
          <w:iCs/>
        </w:rPr>
        <w:t xml:space="preserve">ou</w:t>
      </w:r>
      <w:r>
        <w:t xml:space="preserve"> </w:t>
      </w:r>
      <w:r>
        <w:t xml:space="preserve">[mal tolérés : effets indésirables].</w:t>
      </w:r>
    </w:p>
    <w:p>
      <w:pPr>
        <w:pStyle w:val="BodyText"/>
      </w:pPr>
      <w:r>
        <w:t xml:space="preserve">L’oxygène n’a pas d’effets secondaires systémiques, pas d’interactions</w:t>
      </w:r>
      <w:r>
        <w:t xml:space="preserve"> </w:t>
      </w:r>
      <w:r>
        <w:t xml:space="preserve">médicamenteuses et aucune contre-indication au vu des antécédents de</w:t>
      </w:r>
      <w:r>
        <w:t xml:space="preserve"> </w:t>
      </w:r>
      <w:r>
        <w:t xml:space="preserve">ce patient. Il s’agit de l’option de traitement de crise la plus sûre</w:t>
      </w:r>
      <w:r>
        <w:t xml:space="preserve"> </w:t>
      </w:r>
      <w:r>
        <w:t xml:space="preserve">disponible pour ce patient.</w:t>
      </w:r>
    </w:p>
    <w:p>
      <w:pPr>
        <w:pStyle w:val="BodyText"/>
      </w:pPr>
      <w:r>
        <w:t xml:space="preserve">J’atteste que l’oxygénothérapie à haut débit à domicile est</w:t>
      </w:r>
      <w:r>
        <w:t xml:space="preserve"> </w:t>
      </w:r>
      <w:r>
        <w:t xml:space="preserve">médicalement nécessaire pour [Nom du patient].</w:t>
      </w:r>
    </w:p>
    <w:p>
      <w:pPr>
        <w:pStyle w:val="BodyText"/>
      </w:pPr>
      <w:r>
        <w:t xml:space="preserve">Cordialement,</w:t>
      </w:r>
    </w:p>
    <w:p>
      <w:pPr>
        <w:pStyle w:val="BodyText"/>
      </w:pPr>
      <w:r>
        <w:rPr>
          <w:b/>
          <w:bCs/>
        </w:rPr>
        <w:t xml:space="preserve">[Nom du prescripteur]</w:t>
      </w:r>
      <w:r>
        <w:t xml:space="preserve"> </w:t>
      </w:r>
      <w:r>
        <w:rPr>
          <w:b/>
          <w:bCs/>
        </w:rPr>
        <w:t xml:space="preserve">[Titre / spécialité]</w:t>
      </w:r>
      <w:r>
        <w:t xml:space="preserve"> </w:t>
      </w:r>
      <w:r>
        <w:rPr>
          <w:b/>
          <w:bCs/>
        </w:rPr>
        <w:t xml:space="preserve">[Numéro d’inscription / d’autorisation d’exercice]</w:t>
      </w:r>
      <w:r>
        <w:t xml:space="preserve"> </w:t>
      </w:r>
      <w:r>
        <w:rPr>
          <w:b/>
          <w:bCs/>
        </w:rPr>
        <w:t xml:space="preserve">[Signature]</w:t>
      </w:r>
      <w:r>
        <w:t xml:space="preserve"> </w:t>
      </w:r>
      <w:r>
        <w:rPr>
          <w:b/>
          <w:bCs/>
        </w:rPr>
        <w:t xml:space="preserve">[Date]</w:t>
      </w:r>
    </w:p>
    <w:bookmarkEnd w:id="12"/>
    <w:bookmarkEnd w:id="13"/>
    <w:bookmarkEnd w:id="14"/>
    <w:sectPr>
      <w:footnotePr>
        <w:numRestart w:val="eachSect"/>
      </w:footnotePr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000">
    <w:abstractNumId w:val="990"/>
  </w:num>
  <w:num w:numId="1001">
    <w:abstractNumId w:val="991"/>
  </w:num>
  <w:num w:numId="1002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proofState w:grammar="clean" w:spelling="clean"/>
  <w:stylePaneFormatFilter w:val="0004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rsids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zh-CN" w:val="en-US"/>
      </w:rPr>
    </w:rPrDefault>
    <w:pPrDefault>
      <w:pPr>
        <w:spacing w:after="200"/>
      </w:pPr>
    </w:pPrDefault>
  </w:docDefaults>
  <w:latentStyles w:count="276" w:defLockedState="0" w:defQFormat="0" w:defSemiHidden="0" w:defUIPriority="0" w:defUnhideWhenUsed="0"/>
  <w:style w:default="1" w:styleId="Normal" w:type="paragraph">
    <w:name w:val="Normal"/>
    <w:qFormat/>
  </w:style>
  <w:style w:styleId="BodyText" w:type="paragraph">
    <w:name w:val="Body Text"/>
    <w:basedOn w:val="Normal"/>
    <w:link w:val="BodyTextChar"/>
    <w:qFormat/>
    <w:pPr>
      <w:spacing w:after="180" w:before="180"/>
    </w:pPr>
  </w:style>
  <w:style w:customStyle="1" w:styleId="FirstParagraph" w:type="paragraph">
    <w:name w:val="First Paragraph"/>
    <w:basedOn w:val="BodyText"/>
    <w:next w:val="BodyText"/>
    <w:qFormat/>
  </w:style>
  <w:style w:customStyle="1" w:styleId="Compact" w:type="paragraph">
    <w:name w:val="Compact"/>
    <w:basedOn w:val="BodyText"/>
    <w:qFormat/>
    <w:pPr>
      <w:spacing w:after="36" w:before="36"/>
    </w:pPr>
  </w:style>
  <w:style w:styleId="Title" w:type="paragraph">
    <w:name w:val="Title"/>
    <w:basedOn w:val="Normal"/>
    <w:next w:val="BodyText"/>
    <w:link w:val="TitleChar"/>
    <w:uiPriority w:val="10"/>
    <w:qFormat/>
    <w:rsid w:val="00A10FD9"/>
    <w:pPr>
      <w:spacing w:after="80" w:line="240" w:lineRule="auto"/>
      <w:contextualSpacing/>
      <w:jc w:val="center"/>
    </w:pPr>
    <w:rPr>
      <w:rFonts w:asciiTheme="majorHAnsi" w:cstheme="majorBidi" w:eastAsiaTheme="majorEastAsia" w:hAnsiTheme="majorHAnsi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A10FD9"/>
    <w:rPr>
      <w:rFonts w:asciiTheme="majorHAnsi" w:cstheme="majorBidi" w:eastAsiaTheme="majorEastAsia" w:hAnsiTheme="majorHAnsi"/>
      <w:sz w:val="56"/>
      <w:szCs w:val="56"/>
    </w:rPr>
  </w:style>
  <w:style w:styleId="Subtitle" w:type="paragraph">
    <w:name w:val="Subtitle"/>
    <w:basedOn w:val="Title"/>
    <w:next w:val="BodyText"/>
    <w:link w:val="SubtitleChar"/>
    <w:uiPriority w:val="11"/>
    <w:qFormat/>
    <w:rsid w:val="00A10FD9"/>
    <w:pPr>
      <w:numPr>
        <w:ilvl w:val="1"/>
      </w:numPr>
    </w:pPr>
    <w:rPr>
      <w:rFonts w:cstheme="majorBidi" w:eastAsiaTheme="majorEastAsia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A10FD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uthor" w:type="paragraph">
    <w:name w:val="Author"/>
    <w:basedOn w:val="Title"/>
    <w:next w:val="BodyText"/>
    <w:qFormat/>
    <w:pPr>
      <w:keepNext/>
      <w:keepLines/>
    </w:pPr>
    <w:rPr>
      <w:sz w:val="24"/>
      <w:szCs w:val="24"/>
    </w:rPr>
  </w:style>
  <w:style w:styleId="Date" w:type="paragraph">
    <w:name w:val="Date"/>
    <w:basedOn w:val="Title"/>
    <w:next w:val="BodyText"/>
    <w:qFormat/>
    <w:pPr>
      <w:keepNext/>
      <w:keepLines/>
    </w:pPr>
    <w:rPr>
      <w:sz w:val="24"/>
      <w:szCs w:val="24"/>
    </w:rPr>
  </w:style>
  <w:style w:customStyle="1" w:styleId="AbstractTitle" w:type="paragraph">
    <w:name w:val="Abstract Title"/>
    <w:basedOn w:val="Normal"/>
    <w:next w:val="Abstract"/>
    <w:qFormat/>
    <w:pPr>
      <w:keepNext/>
      <w:keepLines/>
      <w:spacing w:after="0" w:before="300"/>
      <w:jc w:val="center"/>
    </w:pPr>
    <w:rPr>
      <w:b/>
      <w:sz w:val="20"/>
      <w:szCs w:val="20"/>
    </w:rPr>
  </w:style>
  <w:style w:customStyle="1" w:styleId="Abstract" w:type="paragraph">
    <w:name w:val="Abstract"/>
    <w:basedOn w:val="Normal"/>
    <w:next w:val="BodyText"/>
    <w:qFormat/>
    <w:pPr>
      <w:keepNext/>
      <w:keepLines/>
      <w:spacing w:after="300" w:before="100"/>
    </w:pPr>
    <w:rPr>
      <w:sz w:val="20"/>
      <w:szCs w:val="20"/>
    </w:rPr>
  </w:style>
  <w:style w:styleId="Bibliography" w:type="paragraph">
    <w:name w:val="Bibliography"/>
    <w:basedOn w:val="Normal"/>
    <w:next w:val="Bibliography"/>
    <w:qFormat/>
    <w:pPr/>
    <w:rPr/>
  </w:style>
  <w:style w:styleId="Heading1" w:type="paragraph">
    <w:name w:val="heading 1"/>
    <w:basedOn w:val="Normal"/>
    <w:next w:val="BodyText"/>
    <w:link w:val="Heading1Char"/>
    <w:uiPriority w:val="9"/>
    <w:qFormat/>
    <w:rsid w:val="00A10FD9"/>
    <w:pPr>
      <w:keepNext/>
      <w:keepLines/>
      <w:spacing w:after="80" w:before="360"/>
      <w:outlineLvl w:val="0"/>
    </w:pPr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styleId="Heading2" w:type="paragraph">
    <w:name w:val="heading 2"/>
    <w:basedOn w:val="Normal"/>
    <w:next w:val="BodyText"/>
    <w:link w:val="Heading2Char"/>
    <w:uiPriority w:val="9"/>
    <w:semiHidden/>
    <w:unhideWhenUsed/>
    <w:qFormat/>
    <w:rsid w:val="00A10FD9"/>
    <w:pPr>
      <w:keepNext/>
      <w:keepLines/>
      <w:spacing w:after="80" w:before="160"/>
      <w:outlineLvl w:val="1"/>
    </w:pPr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styleId="Heading3" w:type="paragraph">
    <w:name w:val="heading 3"/>
    <w:basedOn w:val="Normal"/>
    <w:next w:val="BodyText"/>
    <w:link w:val="Heading3Char"/>
    <w:uiPriority w:val="9"/>
    <w:semiHidden/>
    <w:unhideWhenUsed/>
    <w:qFormat/>
    <w:rsid w:val="00A10FD9"/>
    <w:pPr>
      <w:keepNext/>
      <w:keepLines/>
      <w:spacing w:after="80" w:before="160"/>
      <w:outlineLvl w:val="2"/>
    </w:pPr>
    <w:rPr>
      <w:rFonts w:cstheme="majorBidi" w:eastAsiaTheme="majorEastAsia"/>
      <w:color w:themeColor="accent1" w:themeShade="BF" w:val="0F4761"/>
      <w:sz w:val="28"/>
      <w:szCs w:val="28"/>
    </w:rPr>
  </w:style>
  <w:style w:styleId="Heading4" w:type="paragraph">
    <w:name w:val="heading 4"/>
    <w:basedOn w:val="Normal"/>
    <w:next w:val="BodyText"/>
    <w:link w:val="Heading4Char"/>
    <w:uiPriority w:val="9"/>
    <w:semiHidden/>
    <w:unhideWhenUsed/>
    <w:qFormat/>
    <w:rsid w:val="00A10FD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BodyText"/>
    <w:link w:val="Heading5Char"/>
    <w:uiPriority w:val="9"/>
    <w:semiHidden/>
    <w:unhideWhenUsed/>
    <w:qFormat/>
    <w:rsid w:val="00A10FD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BodyText"/>
    <w:link w:val="Heading6Char"/>
    <w:uiPriority w:val="9"/>
    <w:semiHidden/>
    <w:unhideWhenUsed/>
    <w:qFormat/>
    <w:rsid w:val="00A10FD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BodyText"/>
    <w:link w:val="Heading7Char"/>
    <w:uiPriority w:val="9"/>
    <w:semiHidden/>
    <w:unhideWhenUsed/>
    <w:qFormat/>
    <w:rsid w:val="00A10FD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BodyText"/>
    <w:link w:val="Heading8Char"/>
    <w:uiPriority w:val="9"/>
    <w:semiHidden/>
    <w:unhideWhenUsed/>
    <w:qFormat/>
    <w:rsid w:val="00A10FD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BodyText"/>
    <w:link w:val="Heading9Char"/>
    <w:uiPriority w:val="9"/>
    <w:semiHidden/>
    <w:unhideWhenUsed/>
    <w:qFormat/>
    <w:rsid w:val="00A10FD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customStyle="1" w:styleId="Heading1Char" w:type="character">
    <w:name w:val="Heading 1 Char"/>
    <w:basedOn w:val="DefaultParagraphFont"/>
    <w:link w:val="Heading1"/>
    <w:uiPriority w:val="9"/>
    <w:rsid w:val="00A10FD9"/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semiHidden/>
    <w:rsid w:val="00A10FD9"/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semiHidden/>
    <w:rsid w:val="00A10FD9"/>
    <w:rPr>
      <w:rFonts w:cstheme="majorBidi" w:eastAsiaTheme="majorEastAsia"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A10FD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A10FD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A10FD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A10FD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A10FD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A10FD9"/>
    <w:rPr>
      <w:rFonts w:cstheme="majorBidi" w:eastAsiaTheme="majorEastAsia"/>
      <w:color w:themeColor="text1" w:themeTint="D8" w:val="272727"/>
    </w:rPr>
  </w:style>
  <w:style w:styleId="BlockText" w:type="paragraph">
    <w:name w:val="Block Text"/>
    <w:basedOn w:val="BodyText"/>
    <w:next w:val="BodyText"/>
    <w:uiPriority w:val="9"/>
    <w:unhideWhenUsed/>
    <w:qFormat/>
    <w:pPr>
      <w:spacing w:after="100" w:before="100"/>
      <w:ind w:firstLine="0" w:left="480" w:right="480"/>
    </w:pPr>
  </w:style>
  <w:style w:styleId="FootnoteText" w:type="paragraph">
    <w:name w:val="Footnote Text"/>
    <w:basedOn w:val="Normal"/>
    <w:next w:val="FootnoteText"/>
    <w:uiPriority w:val="9"/>
    <w:unhideWhenUsed/>
    <w:qFormat/>
  </w:style>
  <w:style w:styleId="FootnoteBlockText" w:type="paragraph">
    <w:name w:val="Footnote Block Text"/>
    <w:basedOn w:val="FootnoteText"/>
    <w:next w:val="FootnoteText"/>
    <w:uiPriority w:val="9"/>
    <w:unhideWhenUsed/>
    <w:qFormat/>
    <w:pPr>
      <w:spacing w:after="100" w:before="100"/>
      <w:ind w:firstLine="0" w:left="480" w:right="480"/>
    </w:pPr>
  </w:style>
  <w:style w:default="1" w:styleId="DefaultParagraphFont" w:type="character">
    <w:name w:val="Default Paragraph Font"/>
    <w:semiHidden/>
    <w:unhideWhenUsed/>
  </w:style>
  <w:style w:default="1" w:styleId="Table" w:type="table">
    <w:name w:val="Table"/>
    <w:basedOn w:val="TableNormal"/>
    <w:semiHidden/>
    <w:unhideWhenUsed/>
    <w:qFormat/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cPr>
        <w:tcBorders>
          <w:bottom w:val="single"/>
        </w:tcBorders>
        <w:vAlign w:val="bottom"/>
      </w:tcPr>
    </w:tblStylePr>
  </w:style>
  <w:style w:customStyle="1" w:styleId="DefinitionTerm" w:type="paragraph">
    <w:name w:val="Definition Term"/>
    <w:basedOn w:val="Normal"/>
    <w:next w:val="Definition"/>
    <w:pPr>
      <w:keepNext/>
      <w:keepLines/>
      <w:spacing w:after="0"/>
    </w:pPr>
    <w:rPr>
      <w:b/>
    </w:rPr>
  </w:style>
  <w:style w:customStyle="1" w:styleId="Definition" w:type="paragraph">
    <w:name w:val="Definition"/>
    <w:basedOn w:val="Normal"/>
  </w:style>
  <w:style w:styleId="Caption" w:type="paragraph">
    <w:name w:val="Caption"/>
    <w:basedOn w:val="Normal"/>
    <w:link w:val="BodyTextChar"/>
    <w:pPr>
      <w:spacing w:after="120" w:before="0"/>
    </w:pPr>
    <w:rPr>
      <w:i/>
    </w:rPr>
  </w:style>
  <w:style w:customStyle="1" w:styleId="TableCaption" w:type="paragraph">
    <w:name w:val="Table Caption"/>
    <w:basedOn w:val="Caption"/>
    <w:pPr>
      <w:keepNext/>
    </w:pPr>
  </w:style>
  <w:style w:customStyle="1" w:styleId="ImageCaption" w:type="paragraph">
    <w:name w:val="Image Caption"/>
    <w:basedOn w:val="Caption"/>
  </w:style>
  <w:style w:customStyle="1" w:styleId="Figure" w:type="paragraph">
    <w:name w:val="Figure"/>
    <w:basedOn w:val="Normal"/>
  </w:style>
  <w:style w:customStyle="1" w:styleId="CaptionedFigure" w:type="paragraph">
    <w:name w:val="Captioned Figure"/>
    <w:basedOn w:val="Figure"/>
    <w:pPr>
      <w:keepNext/>
    </w:pPr>
  </w:style>
  <w:style w:customStyle="1" w:styleId="BodyTextChar" w:type="character">
    <w:name w:val="Body Text Char"/>
    <w:basedOn w:val="DefaultParagraphFont"/>
    <w:link w:val="BodyText"/>
  </w:style>
  <w:style w:customStyle="1" w:styleId="VerbatimChar" w:type="character">
    <w:name w:val="Verbatim Char"/>
    <w:basedOn w:val="BodyTextChar"/>
    <w:rPr>
      <w:rFonts w:ascii="Consolas" w:hAnsi="Consolas"/>
      <w:sz w:val="22"/>
    </w:rPr>
  </w:style>
  <w:style w:customStyle="1" w:styleId="SectionNumber" w:type="character">
    <w:name w:val="Section Number"/>
    <w:basedOn w:val="BodyTextChar"/>
  </w:style>
  <w:style w:styleId="FootnoteReference" w:type="character">
    <w:name w:val="Footnote Reference"/>
    <w:basedOn w:val="BodyTextChar"/>
    <w:rPr>
      <w:vertAlign w:val="superscript"/>
    </w:rPr>
  </w:style>
  <w:style w:styleId="Hyperlink" w:type="character">
    <w:name w:val="Hyperlink"/>
    <w:basedOn w:val="BodyTextChar"/>
    <w:rPr>
      <w:color w:themeColor="accent1" w:val="4F81BD"/>
    </w:rPr>
  </w:style>
  <w:style w:styleId="TOCHeading" w:type="paragraph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cstheme="majorBidi" w:eastAsiaTheme="majorEastAsia" w:hAnsiTheme="majorHAnsi"/>
      <w:b w:val="0"/>
      <w:bCs w:val="0"/>
      <w:color w:themeColor="accent1" w:themeShade="BF" w:val="365F91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b/>
      <w:color w:val="007020"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b/>
      <w:color w:val="008000"/>
    </w:rPr>
  </w:style>
  <w:style w:type="character" w:customStyle="1" w:styleId="CommentTok">
    <w:name w:val="CommentTok"/>
    <w:basedOn w:val="VerbatimChar"/>
    <w:rPr>
      <w:i/>
      <w:color w:val="60a0b0"/>
    </w:rPr>
  </w:style>
  <w:style w:type="character" w:customStyle="1" w:styleId="DocumentationTok">
    <w:name w:val="DocumentationTok"/>
    <w:basedOn w:val="VerbatimChar"/>
    <w:rPr>
      <w:i/>
      <w:color w:val="ba2121"/>
    </w:rPr>
  </w:style>
  <w:style w:type="character" w:customStyle="1" w:styleId="AnnotationTok">
    <w:name w:val="AnnotationTok"/>
    <w:basedOn w:val="VerbatimChar"/>
    <w:rPr>
      <w:b/>
      <w:i/>
      <w:color w:val="60a0b0"/>
    </w:rPr>
  </w:style>
  <w:style w:type="character" w:customStyle="1" w:styleId="CommentVarTok">
    <w:name w:val="CommentVarTok"/>
    <w:basedOn w:val="VerbatimChar"/>
    <w:rPr>
      <w:b/>
      <w:i/>
      <w:color w:val="60a0b0"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b/>
      <w:color w:val="007020"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b/>
      <w:i/>
      <w:color w:val="60a0b0"/>
    </w:rPr>
  </w:style>
  <w:style w:type="character" w:customStyle="1" w:styleId="WarningTok">
    <w:name w:val="WarningTok"/>
    <w:basedOn w:val="VerbatimChar"/>
    <w:rPr>
      <w:b/>
      <w:i/>
      <w:color w:val="60a0b0"/>
    </w:rPr>
  </w:style>
  <w:style w:type="character" w:customStyle="1" w:styleId="AlertTok">
    <w:name w:val="AlertTok"/>
    <w:basedOn w:val="VerbatimChar"/>
    <w:rPr>
      <w:b/>
      <w:color w:val="ff0000"/>
    </w:rPr>
  </w:style>
  <w:style w:type="character" w:customStyle="1" w:styleId="ErrorTok">
    <w:name w:val="ErrorTok"/>
    <w:basedOn w:val="VerbatimChar"/>
    <w:rPr>
      <w:b/>
      <w:color w:val="ff0000"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8" Target="numbering.xml" /><Relationship Type="http://schemas.openxmlformats.org/officeDocument/2006/relationships/styles" Id="rId7" Target="styles.xml" /><Relationship Type="http://schemas.openxmlformats.org/officeDocument/2006/relationships/settings" Id="rId6" Target="settings.xml" /><Relationship Type="http://schemas.openxmlformats.org/officeDocument/2006/relationships/webSettings" Id="rId5" Target="webSettings.xml" /><Relationship Type="http://schemas.openxmlformats.org/officeDocument/2006/relationships/fontTable" Id="rId4" Target="fontTable.xml" /><Relationship Type="http://schemas.openxmlformats.org/officeDocument/2006/relationships/theme" Id="rId3" Target="theme/theme1.xml" /><Relationship Type="http://schemas.openxmlformats.org/officeDocument/2006/relationships/footnotes" Id="rId2" Target="footnotes.xml" /><Relationship Type="http://schemas.openxmlformats.org/officeDocument/2006/relationships/comments" Id="rId1" Target="comments.xml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Lettre de nécessité médicale : modèle à l’attention du médecin prescripteur</dc:title>
  <dc:creator/>
  <cp:keywords/>
  <dcterms:created xsi:type="dcterms:W3CDTF">2026-05-27T10:35:13Z</dcterms:created>
  <dcterms:modified xsi:type="dcterms:W3CDTF">2026-05-27T10:35:13Z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