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Données probantes sur l’oxygène à haut débit dans l’algie vasculaire de la face</w:t>
      </w:r>
    </w:p>
    <w:bookmarkStart w:id="17" w:name="X67ed709e44dc6b133fed075b17d376db3f91a76"/>
    <w:p>
      <w:pPr>
        <w:pStyle w:val="Heading1"/>
      </w:pPr>
      <w:r>
        <w:t xml:space="preserve">Données probantes sur l’oxygène à haut débit dans l’algie vasculaire de la face</w:t>
      </w:r>
    </w:p>
    <w:p>
      <w:pPr>
        <w:pStyle w:val="FirstParagraph"/>
      </w:pPr>
      <w:r>
        <w:t xml:space="preserve">Bref résumé des études les plus souvent citées à l’appui de l’oxygène à</w:t>
      </w:r>
      <w:r>
        <w:t xml:space="preserve"> </w:t>
      </w:r>
      <w:r>
        <w:t xml:space="preserve">haut débit comme traitement de crise de première intention dans l’AVF</w:t>
      </w:r>
      <w:r>
        <w:t xml:space="preserve"> </w:t>
      </w:r>
      <w:r>
        <w:t xml:space="preserve">(algie vasculaire de la face). Chaque entrée indique la référence, le</w:t>
      </w:r>
      <w:r>
        <w:t xml:space="preserve"> </w:t>
      </w:r>
      <w:r>
        <w:t xml:space="preserve">résultat principal et un lien vers l’article. Lorsque l’article est en</w:t>
      </w:r>
      <w:r>
        <w:t xml:space="preserve"> </w:t>
      </w:r>
      <w:r>
        <w:t xml:space="preserve">libre accès, le texte intégral est inclus dans le sous-dossier</w:t>
      </w:r>
      <w:r>
        <w:t xml:space="preserve"> </w:t>
      </w:r>
      <w:r>
        <w:rPr>
          <w:rStyle w:val="VerbatimChar"/>
        </w:rPr>
        <w:t xml:space="preserve">articles-texte-integral/</w:t>
      </w:r>
      <w:r>
        <w:t xml:space="preserve">.</w:t>
      </w:r>
    </w:p>
    <w:p>
      <w:pPr>
        <w:pStyle w:val="BodyText"/>
      </w:pPr>
      <w:r>
        <w:t xml:space="preserve">Ce document est un document de référence ; les articles originaux dans</w:t>
      </w:r>
      <w:r>
        <w:t xml:space="preserve"> </w:t>
      </w:r>
      <w:r>
        <w:t xml:space="preserve">leur version complète priment sur les résumés présentés ici.</w:t>
      </w:r>
    </w:p>
    <w:p>
      <w:r>
        <w:pict>
          <v:rect style="width:0;height:1.5pt" o:hralign="center" o:hrstd="t" o:hr="t"/>
        </w:pict>
      </w:r>
    </w:p>
    <w:bookmarkStart w:id="11" w:name="efficacité"/>
    <w:p>
      <w:pPr>
        <w:pStyle w:val="Heading2"/>
      </w:pPr>
      <w:r>
        <w:t xml:space="preserve">Efficacité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Essai randomisé en double aveugle, contrôlé</w:t>
      </w:r>
      <w:r>
        <w:t xml:space="preserve"> </w:t>
      </w:r>
      <w:r>
        <w:t xml:space="preserve">contre placebo, en crossover. L’inhalation d’oxygène à haut débit</w:t>
      </w:r>
      <w:r>
        <w:t xml:space="preserve"> </w:t>
      </w:r>
      <w:r>
        <w:t xml:space="preserve">(100 % à 12 L/min par masque à haute concentration pendant 15 minutes) a</w:t>
      </w:r>
      <w:r>
        <w:t xml:space="preserve"> </w:t>
      </w:r>
      <w:r>
        <w:t xml:space="preserve">été comparée à de l’air médical à haut débit. Disparition de la douleur</w:t>
      </w:r>
      <w:r>
        <w:t xml:space="preserve"> </w:t>
      </w:r>
      <w:r>
        <w:t xml:space="preserve">à 15 minutes dans 78 % des crises traitées par oxygène contre 20 % avec</w:t>
      </w:r>
      <w:r>
        <w:t xml:space="preserve"> </w:t>
      </w:r>
      <w:r>
        <w:t xml:space="preserve">l’air.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Méta-analyse en réseau de 13 essais randomisés</w:t>
      </w:r>
      <w:r>
        <w:t xml:space="preserve"> </w:t>
      </w:r>
      <w:r>
        <w:t xml:space="preserve">portant sur les traitements de crise de l’AVF. L’oxygène à haut débit a</w:t>
      </w:r>
      <w:r>
        <w:t xml:space="preserve"> </w:t>
      </w:r>
      <w:r>
        <w:t xml:space="preserve">été classé comme le traitement de crise le plus efficace pour la</w:t>
      </w:r>
      <w:r>
        <w:t xml:space="preserve"> </w:t>
      </w:r>
      <w:r>
        <w:t xml:space="preserve">réponse céphalalgique à 15 et 30 minutes (OR 9,0 vs placebo, IC crédible</w:t>
      </w:r>
      <w:r>
        <w:t xml:space="preserve"> </w:t>
      </w:r>
      <w:r>
        <w:t xml:space="preserve">à 95 % 5,3–15,9), plus efficace que l’oxygène à bas débit</w:t>
      </w:r>
      <w:r>
        <w:t xml:space="preserve"> </w:t>
      </w:r>
      <w:r>
        <w:t xml:space="preserve">(OR 2,55, IC crédible à 95 % 1,13–5,8), et sans le signal accru</w:t>
      </w:r>
      <w:r>
        <w:t xml:space="preserve"> </w:t>
      </w:r>
      <w:r>
        <w:t xml:space="preserve">d’effets indésirables observé avec le sumatriptan injectable et</w:t>
      </w:r>
      <w:r>
        <w:t xml:space="preserve"> </w:t>
      </w:r>
      <w:r>
        <w:t xml:space="preserve">l’octréotide. La revue conclut :</w:t>
      </w:r>
      <w:r>
        <w:t xml:space="preserve"> </w:t>
      </w:r>
      <w:r>
        <w:rPr>
          <w:i/>
          <w:iCs/>
        </w:rPr>
        <w:t xml:space="preserve">“lorsque l’oxygène à bas débit échoue</w:t>
      </w:r>
      <w:r>
        <w:rPr>
          <w:i/>
          <w:iCs/>
        </w:rPr>
        <w:t xml:space="preserve"> </w:t>
      </w:r>
      <w:r>
        <w:rPr>
          <w:i/>
          <w:iCs/>
        </w:rPr>
        <w:t xml:space="preserve">chez des patients capables de tolérer l’oxygène, des débits plus élevés</w:t>
      </w:r>
      <w:r>
        <w:rPr>
          <w:i/>
          <w:iCs/>
        </w:rPr>
        <w:t xml:space="preserve"> </w:t>
      </w:r>
      <w:r>
        <w:rPr>
          <w:i/>
          <w:iCs/>
        </w:rPr>
        <w:t xml:space="preserve">devraient être essayés.”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oxygène-à-la-demande-dvo"/>
    <w:p>
      <w:pPr>
        <w:pStyle w:val="Heading2"/>
      </w:pPr>
      <w:r>
        <w:t xml:space="preserve">Oxygène à la demande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Étude pilote ouverte, en petit effectif, dans</w:t>
      </w:r>
      <w:r>
        <w:t xml:space="preserve"> </w:t>
      </w:r>
      <w:r>
        <w:t xml:space="preserve">l’AVF chronique, n = 4. Les quatre participants traités par DVO sont</w:t>
      </w:r>
      <w:r>
        <w:t xml:space="preserve"> </w:t>
      </w:r>
      <w:r>
        <w:t xml:space="preserve">devenus indolores en 6 à 19 minutes (moyenne 12 minutes) ; aucun</w:t>
      </w:r>
      <w:r>
        <w:t xml:space="preserve"> </w:t>
      </w:r>
      <w:r>
        <w:t xml:space="preserve">effet indésirable rapporté. Le protocole associe la DVO à une technique</w:t>
      </w:r>
      <w:r>
        <w:t xml:space="preserve"> </w:t>
      </w:r>
      <w:r>
        <w:t xml:space="preserve">respiratoire d’hyperventilation initiale.</w:t>
      </w:r>
      <w:r>
        <w:t xml:space="preserve"> </w:t>
      </w:r>
      <w:r>
        <w:t xml:space="preserve">Réserve : effectif très réduit, étude ouverte.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Enquête sur l’expérience des patients.</w:t>
      </w:r>
      <w:r>
        <w:t xml:space="preserve"> </w:t>
      </w:r>
      <w:r>
        <w:t xml:space="preserve">Délai moyen jusqu’à un arrêt complet : 11 minutes avec la DVO contre</w:t>
      </w:r>
      <w:r>
        <w:t xml:space="preserve"> </w:t>
      </w:r>
      <w:r>
        <w:t xml:space="preserve">36 minutes avec l’oxygène à haut débit standard. Arrêts complets dans</w:t>
      </w:r>
      <w:r>
        <w:t xml:space="preserve"> </w:t>
      </w:r>
      <w:r>
        <w:t xml:space="preserve">89 % des crises avec la DVO contre 70 % avec l’oxygène à haut débit</w:t>
      </w:r>
      <w:r>
        <w:t xml:space="preserve"> </w:t>
      </w:r>
      <w:r>
        <w:t xml:space="preserve">standard. Étude non randomisée et non aveugle, mais avec une taille</w:t>
      </w:r>
      <w:r>
        <w:t xml:space="preserve"> </w:t>
      </w:r>
      <w:r>
        <w:t xml:space="preserve">d’effet importante.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sécurité"/>
    <w:p>
      <w:pPr>
        <w:pStyle w:val="Heading2"/>
      </w:pPr>
      <w:r>
        <w:t xml:space="preserve">Sécurité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Revue sur la sécurité de l’oxygénothérapie dans les</w:t>
      </w:r>
      <w:r>
        <w:t xml:space="preserve"> </w:t>
      </w:r>
      <w:r>
        <w:t xml:space="preserve">céphalées. Les séances d’oxygène pour céphalée sont courtes</w:t>
      </w:r>
      <w:r>
        <w:t xml:space="preserve"> </w:t>
      </w:r>
      <w:r>
        <w:t xml:space="preserve">(15–60 minutes) et comportent un risque très faible de toxicité de</w:t>
      </w:r>
      <w:r>
        <w:t xml:space="preserve"> </w:t>
      </w:r>
      <w:r>
        <w:t xml:space="preserve">l’oxygène en deçà d’une heure d’utilisation. Les principales</w:t>
      </w:r>
      <w:r>
        <w:t xml:space="preserve"> </w:t>
      </w:r>
      <w:r>
        <w:t xml:space="preserve">préoccupations pratiques concernent la sécurité incendie (en particulier</w:t>
      </w:r>
      <w:r>
        <w:t xml:space="preserve"> </w:t>
      </w:r>
      <w:r>
        <w:t xml:space="preserve">autour du tabagisme et des flammes nues) et la manipulation des</w:t>
      </w:r>
      <w:r>
        <w:t xml:space="preserve"> </w:t>
      </w:r>
      <w:r>
        <w:t xml:space="preserve">bouteilles, plutôt qu’un préjudice physiologique.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Observations sur le risque incendie.</w:t>
      </w:r>
      <w:r>
        <w:t xml:space="preserve"> </w:t>
      </w:r>
      <w:r>
        <w:t xml:space="preserve">La DVO pourrait réduire le gaspillage et les fuites d’oxygène, le débit</w:t>
      </w:r>
      <w:r>
        <w:t xml:space="preserve"> </w:t>
      </w:r>
      <w:r>
        <w:t xml:space="preserve">ne se déclenchant qu’à l’inspiration, ce qui réduirait</w:t>
      </w:r>
      <w:r>
        <w:t xml:space="preserve"> </w:t>
      </w:r>
      <w:r>
        <w:t xml:space="preserve">vraisemblablement l’enrichissement en oxygène de l’air ambiant et le</w:t>
      </w:r>
      <w:r>
        <w:t xml:space="preserve"> </w:t>
      </w:r>
      <w:r>
        <w:t xml:space="preserve">risque incendie par rapport au débit continu.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Données probantes sur l’oxygène à haut débit dans l’algie vasculaire de la face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