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Cartella ossigeno: edizione resto del mondo</w:t>
      </w:r>
    </w:p>
    <w:bookmarkStart w:id="13" w:name="X10437045b46e495e2d56c262b9c93f081a4ccb3"/>
    <w:p>
      <w:pPr>
        <w:pStyle w:val="Heading1"/>
      </w:pPr>
      <w:r>
        <w:t xml:space="preserve">Cartella ossigeno: edizione resto del mondo</w:t>
      </w:r>
    </w:p>
    <w:p>
      <w:pPr>
        <w:pStyle w:val="FirstParagraph"/>
      </w:pPr>
      <w:r>
        <w:t xml:space="preserve">Questa cartella è pensata per aiutarLa a ottenere una prescrizione di</w:t>
      </w:r>
      <w:r>
        <w:t xml:space="preserve"> </w:t>
      </w:r>
      <w:r>
        <w:t xml:space="preserve">ossigenoterapia ad alto flusso per la cefalea a grappolo al di fuori</w:t>
      </w:r>
      <w:r>
        <w:t xml:space="preserve"> </w:t>
      </w:r>
      <w:r>
        <w:t xml:space="preserve">di Stati Uniti e Regno Unito. Utilizza una formulazione neutra,</w:t>
      </w:r>
      <w:r>
        <w:t xml:space="preserve"> </w:t>
      </w:r>
      <w:r>
        <w:t xml:space="preserve">applicabile a livello internazionale, e fa riferimento alle linee guida</w:t>
      </w:r>
      <w:r>
        <w:t xml:space="preserve"> </w:t>
      </w:r>
      <w:r>
        <w:t xml:space="preserve">dell’European Academy of Neurology e dell’American Headache Society,</w:t>
      </w:r>
      <w:r>
        <w:t xml:space="preserve"> </w:t>
      </w:r>
      <w:r>
        <w:t xml:space="preserve">riconosciute dalla maggior parte dei sistemi sanitari nazionali.</w:t>
      </w:r>
    </w:p>
    <w:p>
      <w:pPr>
        <w:pStyle w:val="BodyText"/>
      </w:pPr>
      <w:r>
        <w:t xml:space="preserve">Se Lei si trova negli</w:t>
      </w:r>
      <w:r>
        <w:t xml:space="preserve"> </w:t>
      </w:r>
      <w:r>
        <w:rPr>
          <w:b/>
          <w:bCs/>
        </w:rPr>
        <w:t xml:space="preserve">Stati Uniti</w:t>
      </w:r>
      <w:r>
        <w:t xml:space="preserve"> </w:t>
      </w:r>
      <w:r>
        <w:t xml:space="preserve">o nel</w:t>
      </w:r>
      <w:r>
        <w:t xml:space="preserve"> </w:t>
      </w:r>
      <w:r>
        <w:rPr>
          <w:b/>
          <w:bCs/>
        </w:rPr>
        <w:t xml:space="preserve">Regno Unito</w:t>
      </w:r>
      <w:r>
        <w:t xml:space="preserve">, scarichi</w:t>
      </w:r>
      <w:r>
        <w:t xml:space="preserve"> </w:t>
      </w:r>
      <w:r>
        <w:t xml:space="preserve">invece il pacchetto specifico per il Suo Paese. Quei pacchetti</w:t>
      </w:r>
      <w:r>
        <w:t xml:space="preserve"> </w:t>
      </w:r>
      <w:r>
        <w:t xml:space="preserve">includono i moduli locali e le indicazioni specifiche del percorso</w:t>
      </w:r>
      <w:r>
        <w:t xml:space="preserve"> </w:t>
      </w:r>
      <w:r>
        <w:t xml:space="preserve">(Medicare LCD / SWO per gli Stati Uniti; HOOF Part A e NHS Scotland</w:t>
      </w:r>
      <w:r>
        <w:t xml:space="preserve"> </w:t>
      </w:r>
      <w:r>
        <w:t xml:space="preserve">Right Decisions per il Regno Unito).</w:t>
      </w:r>
    </w:p>
    <w:p>
      <w:pPr>
        <w:pStyle w:val="BodyText"/>
      </w:pPr>
      <w:r>
        <w:t xml:space="preserve">Per il contesto completo dietro ciascun documento, consulti il capitolo</w:t>
      </w:r>
      <w:r>
        <w:t xml:space="preserve"> </w:t>
      </w:r>
      <w:r>
        <w:rPr>
          <w:i/>
          <w:iCs/>
        </w:rPr>
        <w:t xml:space="preserve">Getting access to oxygen</w:t>
      </w:r>
      <w:r>
        <w:t xml:space="preserve"> </w:t>
      </w:r>
      <w:r>
        <w:t xml:space="preserve">su clusterinfo.org.</w:t>
      </w:r>
    </w:p>
    <w:bookmarkStart w:id="9" w:name="che-cosa-contiene"/>
    <w:p>
      <w:pPr>
        <w:pStyle w:val="Heading2"/>
      </w:pPr>
      <w:r>
        <w:t xml:space="preserve">Che cosa contiene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520"/>
        <w:gridCol w:w="44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Scopo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01-lettera-richiesta-prescrizione.docx</w:t>
            </w:r>
          </w:p>
        </w:tc>
        <w:tc>
          <w:tcPr/>
          <w:p>
            <w:pPr>
              <w:pStyle w:val="Compact"/>
            </w:pPr>
            <w:r>
              <w:t xml:space="preserve">Una lettera modificabile da Lei al Suo medico, che riassume le motivazioni per prescrivere l’ossigeno.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02-prescrizione-maschera-reservoir.docx</w:t>
            </w:r>
          </w:p>
        </w:tc>
        <w:tc>
          <w:tcPr/>
          <w:p>
            <w:pPr>
              <w:pStyle w:val="Compact"/>
            </w:pPr>
            <w:r>
              <w:t xml:space="preserve">Modello modificabile di prescrizione per maschera con reservoir (non-rebreathing), con formulazione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03-prescrizione-valvola-demanda.docx</w:t>
            </w:r>
          </w:p>
        </w:tc>
        <w:tc>
          <w:tcPr/>
          <w:p>
            <w:pPr>
              <w:pStyle w:val="Compact"/>
            </w:pPr>
            <w:r>
              <w:t xml:space="preserve">Modello modificabile di prescrizione per ossigeno con valvola a domanda (DVO), con formulazione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04-evidenze.docx</w:t>
            </w:r>
          </w:p>
        </w:tc>
        <w:tc>
          <w:tcPr/>
          <w:p>
            <w:pPr>
              <w:pStyle w:val="Compact"/>
            </w:pPr>
            <w:r>
              <w:t xml:space="preserve">Sintesi di una pagina degli studi più frequentemente citati a sostegno dell’ossigeno per la cefalea a grappolo, con link.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05-lettera-necessita-clinica.docx</w:t>
            </w:r>
          </w:p>
        </w:tc>
        <w:tc>
          <w:tcPr/>
          <w:p>
            <w:pPr>
              <w:pStyle w:val="Compact"/>
            </w:pPr>
            <w:r>
              <w:t xml:space="preserve">Un modello modificabile che il medico può compilare e firmare. Utile quando i pagatori o i fornitori locali contestano la prescrizione.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06-riepilogo-linee-guida.docx</w:t>
            </w:r>
          </w:p>
        </w:tc>
        <w:tc>
          <w:tcPr/>
          <w:p>
            <w:pPr>
              <w:pStyle w:val="Compact"/>
            </w:pPr>
            <w:r>
              <w:t xml:space="preserve">Una sintesi di una pagina delle principali linee guida che raccomandano l’ossigeno come terapia sintomatica di prima linea (EAN, AHS e altre).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articoli-completi/</w:t>
            </w:r>
          </w:p>
        </w:tc>
        <w:tc>
          <w:tcPr/>
          <w:p>
            <w:pPr>
              <w:pStyle w:val="Compact"/>
            </w:pPr>
            <w:r>
              <w:t xml:space="preserve">Una cartella per i PDF in open access degli studi sintetizzati in</w:t>
            </w:r>
            <w:r>
              <w:t xml:space="preserve"> </w:t>
            </w:r>
            <w:r>
              <w:rPr>
                <w:rStyle w:val="VerbatimChar"/>
              </w:rPr>
              <w:t xml:space="preserve">04-evidenze.docx</w:t>
            </w:r>
            <w:r>
              <w:t xml:space="preserve">.</w:t>
            </w:r>
          </w:p>
        </w:tc>
      </w:tr>
    </w:tbl>
    <w:bookmarkEnd w:id="9"/>
    <w:bookmarkStart w:id="10" w:name="cosa-aggiungere-personalmente"/>
    <w:p>
      <w:pPr>
        <w:pStyle w:val="Heading2"/>
      </w:pPr>
      <w:r>
        <w:t xml:space="preserve">Cosa aggiungere personalmente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Una copia della Sua diagnosi di cefalea a grappolo.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Eventuali linee guida locali</w:t>
      </w:r>
      <w:r>
        <w:t xml:space="preserve"> </w:t>
      </w:r>
      <w:r>
        <w:t xml:space="preserve">della Sua società nazionale delle</w:t>
      </w:r>
      <w:r>
        <w:t xml:space="preserve"> </w:t>
      </w:r>
      <w:r>
        <w:t xml:space="preserve">cefalee o dell’autorità sanitaria, che raccomandino l’ossigeno per la</w:t>
      </w:r>
      <w:r>
        <w:t xml:space="preserve"> </w:t>
      </w:r>
      <w:r>
        <w:t xml:space="preserve">cefalea a grappolo.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 moduli locali di prescrizione / rimborso</w:t>
      </w:r>
      <w:r>
        <w:t xml:space="preserve">, se previsti.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Eventuali precedenti terapie sintomatiche fallite</w:t>
      </w:r>
      <w:r>
        <w:t xml:space="preserve">, con date ed esiti.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 piano terapeutico firmato</w:t>
      </w:r>
      <w:r>
        <w:t xml:space="preserve"> </w:t>
      </w:r>
      <w:r>
        <w:t xml:space="preserve">(utilizzi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 </w:t>
      </w:r>
      <w:r>
        <w:t xml:space="preserve">come modello).</w:t>
      </w:r>
    </w:p>
    <w:bookmarkEnd w:id="10"/>
    <w:bookmarkStart w:id="11" w:name="come-utilizzarla"/>
    <w:p>
      <w:pPr>
        <w:pStyle w:val="Heading2"/>
      </w:pPr>
      <w:r>
        <w:t xml:space="preserve">Come utilizzarla</w:t>
      </w:r>
    </w:p>
    <w:p>
      <w:pPr>
        <w:pStyle w:val="Compact"/>
        <w:numPr>
          <w:ilvl w:val="0"/>
          <w:numId w:val="1002"/>
        </w:numPr>
      </w:pPr>
      <w:r>
        <w:t xml:space="preserve">Legga</w:t>
      </w:r>
      <w:r>
        <w:t xml:space="preserve"> </w:t>
      </w:r>
      <w:r>
        <w:rPr>
          <w:rStyle w:val="VerbatimChar"/>
        </w:rPr>
        <w:t xml:space="preserve">01-lettera-richiesta-prescrizione.docx</w:t>
      </w:r>
      <w:r>
        <w:t xml:space="preserve"> </w:t>
      </w:r>
      <w:r>
        <w:t xml:space="preserve">e compili i campi</w:t>
      </w:r>
      <w:r>
        <w:t xml:space="preserve"> </w:t>
      </w:r>
      <w:r>
        <w:t xml:space="preserve">segnaposto tra parentesi quadre.</w:t>
      </w:r>
    </w:p>
    <w:p>
      <w:pPr>
        <w:pStyle w:val="Compact"/>
        <w:numPr>
          <w:ilvl w:val="0"/>
          <w:numId w:val="1002"/>
        </w:numPr>
      </w:pPr>
      <w:r>
        <w:t xml:space="preserve">Stampi o invii via email la cartella al Suo medico prima della visita.</w:t>
      </w:r>
    </w:p>
    <w:p>
      <w:pPr>
        <w:pStyle w:val="Compact"/>
        <w:numPr>
          <w:ilvl w:val="0"/>
          <w:numId w:val="1002"/>
        </w:numPr>
      </w:pPr>
      <w:r>
        <w:t xml:space="preserve">Durante la visita, chieda al medico di redigere la prescrizione</w:t>
      </w:r>
      <w:r>
        <w:t xml:space="preserve"> </w:t>
      </w:r>
      <w:r>
        <w:t xml:space="preserve">utilizzando come punto di partenza</w:t>
      </w:r>
      <w:r>
        <w:t xml:space="preserve"> </w:t>
      </w:r>
      <w:r>
        <w:rPr>
          <w:rStyle w:val="VerbatimChar"/>
        </w:rPr>
        <w:t xml:space="preserve">02-prescrizione-maschera-reservoir.docx</w:t>
      </w:r>
      <w:r>
        <w:t xml:space="preserve"> </w:t>
      </w:r>
      <w:r>
        <w:t xml:space="preserve">(oppure</w:t>
      </w:r>
      <w:r>
        <w:t xml:space="preserve"> </w:t>
      </w:r>
      <w:r>
        <w:rPr>
          <w:rStyle w:val="VerbatimChar"/>
        </w:rPr>
        <w:t xml:space="preserve">03-prescrizione-valvola-demanda.docx</w:t>
      </w:r>
      <w:r>
        <w:t xml:space="preserve">, se l’ossigeno con valvola a domanda è</w:t>
      </w:r>
      <w:r>
        <w:t xml:space="preserve"> </w:t>
      </w:r>
      <w:r>
        <w:t xml:space="preserve">disponibile a livello locale).</w:t>
      </w:r>
    </w:p>
    <w:p>
      <w:pPr>
        <w:pStyle w:val="Compact"/>
        <w:numPr>
          <w:ilvl w:val="0"/>
          <w:numId w:val="1002"/>
        </w:numPr>
      </w:pPr>
      <w:r>
        <w:t xml:space="preserve">Se il pagatore o il fornitore locale contesta la prescrizione,</w:t>
      </w:r>
      <w:r>
        <w:t xml:space="preserve"> </w:t>
      </w:r>
      <w:r>
        <w:t xml:space="preserve">consegni</w:t>
      </w:r>
      <w:r>
        <w:t xml:space="preserve"> </w:t>
      </w:r>
      <w:r>
        <w:rPr>
          <w:rStyle w:val="VerbatimChar"/>
        </w:rPr>
        <w:t xml:space="preserve">05-lettera-necessita-clinica.docx</w:t>
      </w:r>
      <w:r>
        <w:t xml:space="preserve"> </w:t>
      </w:r>
      <w:r>
        <w:t xml:space="preserve">affinché il medico lo</w:t>
      </w:r>
      <w:r>
        <w:t xml:space="preserve"> </w:t>
      </w:r>
      <w:r>
        <w:t xml:space="preserve">compili e lo firmi.</w:t>
      </w:r>
    </w:p>
    <w:bookmarkEnd w:id="11"/>
    <w:bookmarkStart w:id="12" w:name="percorso-locale"/>
    <w:p>
      <w:pPr>
        <w:pStyle w:val="Heading2"/>
      </w:pPr>
      <w:r>
        <w:t xml:space="preserve">Percorso locale</w:t>
      </w:r>
    </w:p>
    <w:p>
      <w:pPr>
        <w:pStyle w:val="FirstParagraph"/>
      </w:pPr>
      <w:r>
        <w:t xml:space="preserve">Il percorso per ottenere l’ossigeno domiciliare varia ampiamente tra i</w:t>
      </w:r>
      <w:r>
        <w:t xml:space="preserve"> </w:t>
      </w:r>
      <w:r>
        <w:t xml:space="preserve">diversi Paesi. Due principi valgono ovunque: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Capire chi prescrive, chi fornisce e chi paga nella Sua regione.</w:t>
      </w:r>
      <w:r>
        <w:t xml:space="preserve"> </w:t>
      </w:r>
      <w:r>
        <w:t xml:space="preserve">Medici, fornitori e pagatori lavorano spesso sulla base di</w:t>
      </w:r>
      <w:r>
        <w:t xml:space="preserve"> </w:t>
      </w:r>
      <w:r>
        <w:t xml:space="preserve">presupposti errati. Conoscere le regole locali aiuta.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Ottenere per iscritto ogni rifiuto.</w:t>
      </w:r>
      <w:r>
        <w:t xml:space="preserve"> </w:t>
      </w:r>
      <w:r>
        <w:t xml:space="preserve">Trasforma un diniego vago in</w:t>
      </w:r>
      <w:r>
        <w:t xml:space="preserve"> </w:t>
      </w:r>
      <w:r>
        <w:t xml:space="preserve">un problema affrontabile e rafforza qualsiasi ricorso.</w:t>
      </w:r>
    </w:p>
    <w:p>
      <w:pPr>
        <w:pStyle w:val="FirstParagraph"/>
      </w:pPr>
      <w:r>
        <w:t xml:space="preserve">Le associazioni locali di pazienti e le comunità tra pari sono spesso</w:t>
      </w:r>
      <w:r>
        <w:t xml:space="preserve"> </w:t>
      </w:r>
      <w:r>
        <w:t xml:space="preserve">la via più rapida per conoscere il percorso specifico del Suo Paese.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Cartella ossigeno: edizione resto del mondo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