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Articoli a testo integrale</w:t>
      </w:r>
    </w:p>
    <w:bookmarkStart w:id="9" w:name="articoli-a-testo-integrale"/>
    <w:p>
      <w:pPr>
        <w:pStyle w:val="Heading1"/>
      </w:pPr>
      <w:r>
        <w:t xml:space="preserve">Articoli a testo integrale</w:t>
      </w:r>
    </w:p>
    <w:p>
      <w:pPr>
        <w:pStyle w:val="FirstParagraph"/>
      </w:pPr>
      <w:r>
        <w:t xml:space="preserve">Questa cartella raccoglie i PDF a testo integrale degli studi riassunti in</w:t>
      </w:r>
      <w:r>
        <w:t xml:space="preserve"> </w:t>
      </w:r>
      <w:r>
        <w:rPr>
          <w:rStyle w:val="VerbatimChar"/>
        </w:rPr>
        <w:t xml:space="preserve">04-evidenze.docx</w:t>
      </w:r>
      <w:r>
        <w:t xml:space="preserve">. Per i risultati definitivi si rimanda agli articoli</w:t>
      </w:r>
      <w:r>
        <w:t xml:space="preserve"> </w:t>
      </w:r>
      <w:r>
        <w:t xml:space="preserve">originali; le sintesi in</w:t>
      </w:r>
      <w:r>
        <w:t xml:space="preserve"> </w:t>
      </w:r>
      <w:r>
        <w:rPr>
          <w:rStyle w:val="VerbatimChar"/>
        </w:rPr>
        <w:t xml:space="preserve">04-evidenze.docx</w:t>
      </w:r>
      <w:r>
        <w:t xml:space="preserve"> </w:t>
      </w:r>
      <w:r>
        <w:t xml:space="preserve">sono in forma abbreviata.</w:t>
      </w:r>
    </w:p>
    <w:p>
      <w:pPr>
        <w:pStyle w:val="BodyText"/>
      </w:pPr>
      <w:r>
        <w:t xml:space="preserve">Contenuto: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cohen2009.pdf</w:t>
      </w:r>
      <w:r>
        <w:t xml:space="preserve"> </w:t>
      </w:r>
      <w:r>
        <w:t xml:space="preserve">— Cohen et al., 2009 (JAMA). RCT sull’ossigeno ad alto flusso.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medrea2022.pdf</w:t>
      </w:r>
      <w:r>
        <w:t xml:space="preserve"> </w:t>
      </w:r>
      <w:r>
        <w:t xml:space="preserve">— Medrea et al., 2022 (Headache).</w:t>
      </w:r>
      <w:r>
        <w:t xml:space="preserve"> </w:t>
      </w:r>
      <w:r>
        <w:t xml:space="preserve">Network meta-analysis dei trattamenti sintomatici della cefalea a grappolo.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mo2022.pdf</w:t>
      </w:r>
      <w:r>
        <w:t xml:space="preserve"> </w:t>
      </w:r>
      <w:r>
        <w:t xml:space="preserve">— Mo et al., 2022 (J Clin Neurol).</w:t>
      </w:r>
      <w:r>
        <w:t xml:space="preserve"> </w:t>
      </w:r>
      <w:r>
        <w:t xml:space="preserve">Revisione dell’ossigenoterapia nella cefalea a grappolo, nell’emicrania e in altre cefalee.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rozen2013.pdf</w:t>
      </w:r>
      <w:r>
        <w:t xml:space="preserve"> </w:t>
      </w:r>
      <w:r>
        <w:t xml:space="preserve">— Rozen &amp; Fishman, 2013 (Pain Medicine).</w:t>
      </w:r>
      <w:r>
        <w:t xml:space="preserve"> </w:t>
      </w:r>
      <w:r>
        <w:t xml:space="preserve">Studio pilota sull’ossigeno con valvola a domanda.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goadsby2025.pdf</w:t>
      </w:r>
      <w:r>
        <w:t xml:space="preserve"> </w:t>
      </w:r>
      <w:r>
        <w:t xml:space="preserve">— Goadsby et al., 2025 (Cephalalgia Reports).</w:t>
      </w:r>
      <w:r>
        <w:t xml:space="preserve"> </w:t>
      </w:r>
      <w:r>
        <w:t xml:space="preserve">Indagine sull’esperienza dei pazienti: DVO vs ossigeno standard ad alto flusso.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tepper2017.pdf</w:t>
      </w:r>
      <w:r>
        <w:t xml:space="preserve"> </w:t>
      </w:r>
      <w:r>
        <w:t xml:space="preserve">— Tepper et al., 2017 (Headache).</w:t>
      </w:r>
      <w:r>
        <w:t xml:space="preserve"> </w:t>
      </w:r>
      <w:r>
        <w:t xml:space="preserve">Guida pratica alla prescrizione.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Articoli a testo integrale</dc:title>
  <dc:creator/>
  <cp:keywords/>
  <dcterms:created xsi:type="dcterms:W3CDTF">2026-05-27T10:35:13Z</dcterms:created>
  <dcterms:modified xsi:type="dcterms:W3CDTF">2026-05-27T10:35:13Z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