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Linee guida sull’ossigeno per la cefalea a grappolo</w:t>
      </w:r>
    </w:p>
    <w:bookmarkStart w:id="17" w:name="X054adf53f038919ea81209eb2cb14cd33c4073e"/>
    <w:p>
      <w:pPr>
        <w:pStyle w:val="Heading1"/>
      </w:pPr>
      <w:r>
        <w:t xml:space="preserve">Linee guida sull’ossigeno per la cefalea a grappolo</w:t>
      </w:r>
    </w:p>
    <w:p>
      <w:pPr>
        <w:pStyle w:val="FirstParagraph"/>
      </w:pPr>
      <w:r>
        <w:t xml:space="preserve">Una sintesi di una pagina delle principali linee guida che raccomandano</w:t>
      </w:r>
      <w:r>
        <w:t xml:space="preserve"> </w:t>
      </w:r>
      <w:r>
        <w:t xml:space="preserve">l’ossigeno ad alto flusso come terapia sintomatica di prima linea per la</w:t>
      </w:r>
      <w:r>
        <w:t xml:space="preserve"> </w:t>
      </w:r>
      <w:r>
        <w:t xml:space="preserve">cefalea a grappolo.</w:t>
      </w:r>
    </w:p>
    <w:bookmarkStart w:id="9" w:name="european-academy-of-neurology-ean"/>
    <w:p>
      <w:pPr>
        <w:pStyle w:val="Heading2"/>
      </w:pPr>
      <w:r>
        <w:t xml:space="preserve">European Academy of Neurology (EAN)</w:t>
      </w:r>
    </w:p>
    <w:p>
      <w:pPr>
        <w:pStyle w:val="BlockText"/>
      </w:pPr>
      <w:r>
        <w:t xml:space="preserve">«La prima opzione per il trattamento degli attacchi acuti di cefalea a</w:t>
      </w:r>
      <w:r>
        <w:t xml:space="preserve"> </w:t>
      </w:r>
      <w:r>
        <w:t xml:space="preserve">grappolo dovrebbe essere l’iniezione sottocutanea di sumatriptan 6 mg</w:t>
      </w:r>
      <w:r>
        <w:t xml:space="preserve"> </w:t>
      </w:r>
      <w:r>
        <w:t xml:space="preserve">o l’inalazione di ossigeno al 100% ad almeno 12 L/min per 15 minuti.»</w:t>
      </w:r>
    </w:p>
    <w:bookmarkEnd w:id="9"/>
    <w:bookmarkStart w:id="10" w:name="american-headache-society-ahs"/>
    <w:p>
      <w:pPr>
        <w:pStyle w:val="Heading2"/>
      </w:pPr>
      <w:r>
        <w:t xml:space="preserve">American Headache Society (AHS)</w:t>
      </w:r>
    </w:p>
    <w:p>
      <w:pPr>
        <w:pStyle w:val="FirstParagraph"/>
      </w:pPr>
      <w:r>
        <w:t xml:space="preserve">L’ossigeno ad alto flusso (tipicamente 6–12 L/min tramite maschera con</w:t>
      </w:r>
      <w:r>
        <w:t xml:space="preserve"> </w:t>
      </w:r>
      <w:r>
        <w:t xml:space="preserve">reservoir non-rebreathing) è riconosciuto come</w:t>
      </w:r>
      <w:r>
        <w:t xml:space="preserve"> </w:t>
      </w:r>
      <w:r>
        <w:rPr>
          <w:b/>
          <w:bCs/>
        </w:rPr>
        <w:t xml:space="preserve">terapia sintomatica di</w:t>
      </w:r>
      <w:r>
        <w:rPr>
          <w:b/>
          <w:bCs/>
        </w:rPr>
        <w:t xml:space="preserve"> </w:t>
      </w:r>
      <w:r>
        <w:rPr>
          <w:b/>
          <w:bCs/>
        </w:rPr>
        <w:t xml:space="preserve">livello A</w:t>
      </w:r>
      <w:r>
        <w:t xml:space="preserve"> </w:t>
      </w:r>
      <w:r>
        <w:t xml:space="preserve">per la cefalea a grappolo.</w:t>
      </w:r>
    </w:p>
    <w:bookmarkEnd w:id="10"/>
    <w:bookmarkStart w:id="11" w:name="nice-cg150-uk"/>
    <w:p>
      <w:pPr>
        <w:pStyle w:val="Heading2"/>
      </w:pPr>
      <w:r>
        <w:t xml:space="preserve">NICE CG150 (UK)</w:t>
      </w:r>
    </w:p>
    <w:p>
      <w:pPr>
        <w:pStyle w:val="BlockText"/>
      </w:pPr>
      <w:r>
        <w:t xml:space="preserve">«Offrire ossigeno e/o un triptano sottocutaneo o nasale per il</w:t>
      </w:r>
      <w:r>
        <w:t xml:space="preserve"> </w:t>
      </w:r>
      <w:r>
        <w:t xml:space="preserve">trattamento sintomatico della cefalea a grappolo.»</w:t>
      </w:r>
    </w:p>
    <w:p>
      <w:pPr>
        <w:pStyle w:val="BlockText"/>
      </w:pPr>
      <w:r>
        <w:t xml:space="preserve">«Utilizzare ossigeno al 100% a un flusso di almeno 12 litri al minuto</w:t>
      </w:r>
      <w:r>
        <w:t xml:space="preserve"> </w:t>
      </w:r>
      <w:r>
        <w:t xml:space="preserve">con una maschera non-rebreathing e un sacco reservoir, e organizzare</w:t>
      </w:r>
      <w:r>
        <w:t xml:space="preserve"> </w:t>
      </w:r>
      <w:r>
        <w:t xml:space="preserve">la fornitura di ossigeno domiciliare e ambulatoriale.»</w:t>
      </w:r>
    </w:p>
    <w:bookmarkEnd w:id="11"/>
    <w:bookmarkStart w:id="13" w:name="X53d40049a10b06743d648c1dbb2ebf71764e131"/>
    <w:p>
      <w:pPr>
        <w:pStyle w:val="Heading2"/>
      </w:pPr>
      <w:r>
        <w:t xml:space="preserve">NHS Scotland: Right Decisions for cluster headache</w:t>
      </w:r>
    </w:p>
    <w:p>
      <w:pPr>
        <w:pStyle w:val="FirstParagraph"/>
      </w:pPr>
      <w:r>
        <w:t xml:space="preserve">L’indicazione più chiara per il paziente sul flusso e sulle modalità</w:t>
      </w:r>
      <w:r>
        <w:t xml:space="preserve"> </w:t>
      </w:r>
      <w:r>
        <w:t xml:space="preserve">d’uso dell’ossigeno:</w:t>
      </w:r>
    </w:p>
    <w:p>
      <w:pPr>
        <w:pStyle w:val="Compact"/>
        <w:numPr>
          <w:ilvl w:val="0"/>
          <w:numId w:val="1001"/>
        </w:numPr>
      </w:pPr>
      <w:r>
        <w:t xml:space="preserve">Ossigeno al 100% a</w:t>
      </w:r>
      <w:r>
        <w:t xml:space="preserve"> </w:t>
      </w:r>
      <w:r>
        <w:rPr>
          <w:b/>
          <w:bCs/>
        </w:rPr>
        <w:t xml:space="preserve">10–15 L/min per 15–20 minuti</w:t>
      </w:r>
      <w:r>
        <w:t xml:space="preserve"> </w:t>
      </w:r>
      <w:r>
        <w:t xml:space="preserve">tramite maschera</w:t>
      </w:r>
      <w:r>
        <w:t xml:space="preserve"> </w:t>
      </w:r>
      <w:r>
        <w:t xml:space="preserve">con reservoir non-rebreathing.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Nessun limite massimo di utilizzo.</w:t>
      </w:r>
    </w:p>
    <w:p>
      <w:pPr>
        <w:pStyle w:val="Compact"/>
        <w:numPr>
          <w:ilvl w:val="0"/>
          <w:numId w:val="1001"/>
        </w:numPr>
      </w:pPr>
      <w:r>
        <w:t xml:space="preserve">Una</w:t>
      </w:r>
      <w:r>
        <w:t xml:space="preserve"> </w:t>
      </w:r>
      <w:r>
        <w:rPr>
          <w:b/>
          <w:bCs/>
        </w:rPr>
        <w:t xml:space="preserve">valvola a domanda</w:t>
      </w:r>
      <w:r>
        <w:t xml:space="preserve"> </w:t>
      </w:r>
      <w:r>
        <w:t xml:space="preserve">è disponibile su richiesta.</w:t>
      </w:r>
    </w:p>
    <w:p>
      <w:pPr>
        <w:pStyle w:val="FirstParagraph"/>
      </w:pPr>
      <w:hyperlink r:id="rId12">
        <w:r>
          <w:rPr>
            <w:rStyle w:val="Hyperlink"/>
          </w:rPr>
          <w:t xml:space="preserve">https://www.rightdecisions.scot.nhs.uk/neurology-pathways/headache/9-cluster-headache-guidance/</w:t>
        </w:r>
      </w:hyperlink>
    </w:p>
    <w:bookmarkEnd w:id="13"/>
    <w:bookmarkStart w:id="15" w:name="usa-medicare-lcd-l33797"/>
    <w:p>
      <w:pPr>
        <w:pStyle w:val="Heading2"/>
      </w:pPr>
      <w:r>
        <w:t xml:space="preserve">USA: Medicare LCD L33797</w:t>
      </w:r>
    </w:p>
    <w:p>
      <w:pPr>
        <w:pStyle w:val="FirstParagraph"/>
      </w:pPr>
      <w:r>
        <w:t xml:space="preserve">La cefalea a grappolo è elencata come condizione qualificante di</w:t>
      </w:r>
      <w:r>
        <w:t xml:space="preserve"> </w:t>
      </w:r>
      <w:r>
        <w:rPr>
          <w:b/>
          <w:bCs/>
        </w:rPr>
        <w:t xml:space="preserve">Gruppo III</w:t>
      </w:r>
      <w:r>
        <w:t xml:space="preserve"> </w:t>
      </w:r>
      <w:r>
        <w:t xml:space="preserve">per l’ossigeno domiciliare nella Medicare Local Coverage</w:t>
      </w:r>
      <w:r>
        <w:t xml:space="preserve"> </w:t>
      </w:r>
      <w:r>
        <w:t xml:space="preserve">Determination L33797. Inclusa qui come riferimento incrociato; la</w:t>
      </w:r>
      <w:r>
        <w:t xml:space="preserve"> </w:t>
      </w:r>
      <w:r>
        <w:t xml:space="preserve">documentazione LCD di supporto si trova nel bundle statunitense.</w:t>
      </w:r>
    </w:p>
    <w:p>
      <w:pPr>
        <w:pStyle w:val="BodyText"/>
      </w:pPr>
      <w:hyperlink r:id="rId14">
        <w:r>
          <w:rPr>
            <w:rStyle w:val="Hyperlink"/>
          </w:rPr>
          <w:t xml:space="preserve">https://www.cms.gov/medicare-coverage-database/view/lcd.aspx?lcdid=33797</w:t>
        </w:r>
      </w:hyperlink>
    </w:p>
    <w:bookmarkEnd w:id="15"/>
    <w:bookmarkStart w:id="16" w:name="cerchi-le-linee-guida-del-suo-paese"/>
    <w:p>
      <w:pPr>
        <w:pStyle w:val="Heading2"/>
      </w:pPr>
      <w:r>
        <w:t xml:space="preserve">Cerchi le linee guida del Suo Paese</w:t>
      </w:r>
    </w:p>
    <w:p>
      <w:pPr>
        <w:pStyle w:val="FirstParagraph"/>
      </w:pPr>
      <w:r>
        <w:t xml:space="preserve">Se nel Suo Paese esiste una società scientifica nazionale per le</w:t>
      </w:r>
      <w:r>
        <w:t xml:space="preserve"> </w:t>
      </w:r>
      <w:r>
        <w:t xml:space="preserve">cefalee o un’autorità sanitaria che ha pubblicato linee guida sulla</w:t>
      </w:r>
      <w:r>
        <w:t xml:space="preserve"> </w:t>
      </w:r>
      <w:r>
        <w:t xml:space="preserve">cefalea a grappolo, citi anche quelle. Esempi (non esaustivi):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Germania:</w:t>
      </w:r>
      <w:r>
        <w:t xml:space="preserve"> </w:t>
      </w:r>
      <w:r>
        <w:t xml:space="preserve">Deutsche Migräne- und Kopfschmerzgesellschaft (DMKG).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Francia:</w:t>
      </w:r>
      <w:r>
        <w:t xml:space="preserve"> </w:t>
      </w:r>
      <w:r>
        <w:t xml:space="preserve">Société Française d’Étude des Migraines et Céphalées</w:t>
      </w:r>
      <w:r>
        <w:t xml:space="preserve"> </w:t>
      </w:r>
      <w:r>
        <w:t xml:space="preserve">(SFEMC).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Italia:</w:t>
      </w:r>
      <w:r>
        <w:t xml:space="preserve"> </w:t>
      </w:r>
      <w:r>
        <w:t xml:space="preserve">Società Italiana per lo Studio delle Cefalee (SISC).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Spagna:</w:t>
      </w:r>
      <w:r>
        <w:t xml:space="preserve"> </w:t>
      </w:r>
      <w:r>
        <w:t xml:space="preserve">Sociedad Española de Neurología (SEN).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Canada:</w:t>
      </w:r>
      <w:r>
        <w:t xml:space="preserve"> </w:t>
      </w:r>
      <w:r>
        <w:t xml:space="preserve">Canadian Headache Society.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Australia / Nuova Zelanda:</w:t>
      </w:r>
      <w:r>
        <w:t xml:space="preserve"> </w:t>
      </w:r>
      <w:r>
        <w:t xml:space="preserve">Neurology Society of Australia.</w:t>
      </w:r>
    </w:p>
    <w:p>
      <w:pPr>
        <w:pStyle w:val="FirstParagraph"/>
      </w:pPr>
      <w:r>
        <w:t xml:space="preserve">La maggior parte delle società scientifiche nazionali per le cefalee</w:t>
      </w:r>
      <w:r>
        <w:t xml:space="preserve"> </w:t>
      </w:r>
      <w:r>
        <w:t xml:space="preserve">condivide la posizione di EAN e/o AHS sull’ossigeno come terapia</w:t>
      </w:r>
      <w:r>
        <w:t xml:space="preserve"> </w:t>
      </w:r>
      <w:r>
        <w:t xml:space="preserve">sintomatica di prima linea.</w:t>
      </w:r>
    </w:p>
    <w:bookmarkEnd w:id="16"/>
    <w:bookmarkEnd w:id="1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14" Target="https://www.cms.gov/medicare-coverage-database/view/lcd.aspx?lcdid=33797" TargetMode="External" /><Relationship Type="http://schemas.openxmlformats.org/officeDocument/2006/relationships/hyperlink" Id="rId12" Target="https://www.rightdecisions.scot.nhs.uk/neurology-pathways/headache/9-cluster-headache-guidance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4" Target="https://www.cms.gov/medicare-coverage-database/view/lcd.aspx?lcdid=33797" TargetMode="External" /><Relationship Type="http://schemas.openxmlformats.org/officeDocument/2006/relationships/hyperlink" Id="rId12" Target="https://www.rightdecisions.scot.nhs.uk/neurology-pathways/headache/9-cluster-headache-guidance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Linee guida sull’ossigeno per la cefalea a grappolo</dc:title>
  <dc:creator/>
  <cp:keywords/>
  <dcterms:created xsi:type="dcterms:W3CDTF">2026-05-27T10:35:14Z</dcterms:created>
  <dcterms:modified xsi:type="dcterms:W3CDTF">2026-05-27T10:35:14Z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