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Piano terapeutico: modello per il clinico prescrittore</w:t>
      </w:r>
    </w:p>
    <w:bookmarkStart w:id="14" w:name="piano-terapeutico"/>
    <w:p>
      <w:pPr>
        <w:pStyle w:val="Heading1"/>
      </w:pPr>
      <w:r>
        <w:t xml:space="preserve">Piano terapeutico</w:t>
      </w:r>
    </w:p>
    <w:p>
      <w:pPr>
        <w:pStyle w:val="FirstParagraph"/>
      </w:pPr>
      <w:r>
        <w:rPr>
          <w:i/>
          <w:iCs/>
        </w:rPr>
        <w:t xml:space="preserve">Questo è un modello per il clinico prescrittore. Modifichi i campi tra</w:t>
      </w:r>
      <w:r>
        <w:rPr>
          <w:i/>
          <w:iCs/>
        </w:rPr>
        <w:t xml:space="preserve"> </w:t>
      </w:r>
      <w:r>
        <w:rPr>
          <w:i/>
          <w:iCs/>
        </w:rPr>
        <w:t xml:space="preserve">parentesi quadre, firmi e dati.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[Carta intestata del centro]</w:t>
      </w:r>
    </w:p>
    <w:p>
      <w:pPr>
        <w:pStyle w:val="BodyText"/>
      </w:pPr>
      <w:r>
        <w:rPr>
          <w:b/>
          <w:bCs/>
        </w:rPr>
        <w:t xml:space="preserve">Data:</w:t>
      </w:r>
      <w:r>
        <w:t xml:space="preserve"> </w:t>
      </w:r>
      <w:r>
        <w:t xml:space="preserve">[Data]</w:t>
      </w:r>
    </w:p>
    <w:p>
      <w:pPr>
        <w:pStyle w:val="BodyText"/>
      </w:pPr>
      <w:r>
        <w:rPr>
          <w:b/>
          <w:bCs/>
        </w:rPr>
        <w:t xml:space="preserve">A chi di competenza</w:t>
      </w:r>
      <w:r>
        <w:t xml:space="preserve"> </w:t>
      </w:r>
      <w:r>
        <w:t xml:space="preserve">(Fornitore e/o ente pagatore)</w:t>
      </w:r>
    </w:p>
    <w:p>
      <w:r>
        <w:pict>
          <v:rect style="width:0;height:1.5pt" o:hralign="center" o:hrstd="t" o:hr="t"/>
        </w:pict>
      </w:r>
    </w:p>
    <w:bookmarkStart w:id="13" w:name="X3f0a833f83371514a5d1d646b6bff4095b3a1c4"/>
    <w:p>
      <w:pPr>
        <w:pStyle w:val="Heading2"/>
      </w:pPr>
      <w:r>
        <w:t xml:space="preserve">Oggetto: [Nome completo del paziente], data di nascita [Data di nascita], necessità clinica di ossigenoterapia domiciliare ad alto flusso</w:t>
      </w:r>
    </w:p>
    <w:p>
      <w:pPr>
        <w:pStyle w:val="FirstParagraph"/>
      </w:pPr>
      <w:r>
        <w:t xml:space="preserve">Sono il clinico curante di [Nome del paziente], affetto/a da diagnosi</w:t>
      </w:r>
      <w:r>
        <w:t xml:space="preserve"> </w:t>
      </w:r>
      <w:r>
        <w:t xml:space="preserve">confermata di cefalea a grappolo [episodica / cronica] (ICD-10 G44.0[__]).</w:t>
      </w:r>
      <w:r>
        <w:t xml:space="preserve"> </w:t>
      </w:r>
      <w:r>
        <w:t xml:space="preserve">L’ossigenoterapia domiciliare ad alto flusso è clinicamente necessaria</w:t>
      </w:r>
      <w:r>
        <w:t xml:space="preserve"> </w:t>
      </w:r>
      <w:r>
        <w:t xml:space="preserve">per interrompere gli attacchi del paziente e preservarne la funzionalità</w:t>
      </w:r>
      <w:r>
        <w:t xml:space="preserve"> </w:t>
      </w:r>
      <w:r>
        <w:t xml:space="preserve">quotidiana.</w:t>
      </w:r>
    </w:p>
    <w:bookmarkStart w:id="9" w:name="quadro-clinico"/>
    <w:p>
      <w:pPr>
        <w:pStyle w:val="Heading3"/>
      </w:pPr>
      <w:r>
        <w:t xml:space="preserve">Quadro clinico</w:t>
      </w:r>
    </w:p>
    <w:p>
      <w:pPr>
        <w:pStyle w:val="FirstParagraph"/>
      </w:pPr>
      <w:r>
        <w:t xml:space="preserve">[Nome del paziente] soddisfa i criteri ICHD-3 per cefalea a grappolo, con</w:t>
      </w:r>
      <w:r>
        <w:t xml:space="preserve"> </w:t>
      </w:r>
      <w:r>
        <w:t xml:space="preserve">[N] attacchi al giorno, ciascuno di durata pari a [durata] minuti, di</w:t>
      </w:r>
      <w:r>
        <w:t xml:space="preserve"> </w:t>
      </w:r>
      <w:r>
        <w:t xml:space="preserve">dolore grave unilaterale orbitario o temporale accompagnato da segni</w:t>
      </w:r>
      <w:r>
        <w:t xml:space="preserve"> </w:t>
      </w:r>
      <w:r>
        <w:t xml:space="preserve">autonomici ipsilaterali (lacrimazione, iniezione congiuntivale,</w:t>
      </w:r>
      <w:r>
        <w:t xml:space="preserve"> </w:t>
      </w:r>
      <w:r>
        <w:t xml:space="preserve">rinorrea, congestione nasale, edema palpebrale e/o irrequietezza durante</w:t>
      </w:r>
      <w:r>
        <w:t xml:space="preserve"> </w:t>
      </w:r>
      <w:r>
        <w:t xml:space="preserve">gli attacchi). [Aggiungere pattern del grappolo e durata, se rilevanti.]</w:t>
      </w:r>
    </w:p>
    <w:p>
      <w:pPr>
        <w:pStyle w:val="BodyText"/>
      </w:pPr>
      <w:r>
        <w:t xml:space="preserve">Impatto funzionale: gli attacchi hanno causato [giornate di lavoro perse</w:t>
      </w:r>
      <w:r>
        <w:t xml:space="preserve"> </w:t>
      </w:r>
      <w:r>
        <w:t xml:space="preserve">/ sonno disturbato / impossibilità di guidare / accessi al pronto</w:t>
      </w:r>
      <w:r>
        <w:t xml:space="preserve"> </w:t>
      </w:r>
      <w:r>
        <w:t xml:space="preserve">soccorso; specificare].</w:t>
      </w:r>
    </w:p>
    <w:p>
      <w:pPr>
        <w:pStyle w:val="BodyText"/>
      </w:pPr>
      <w:r>
        <w:t xml:space="preserve">[Terapie sintomatiche tentate: farmaco, dose, date, risposta, eventi</w:t>
      </w:r>
      <w:r>
        <w:t xml:space="preserve"> </w:t>
      </w:r>
      <w:r>
        <w:t xml:space="preserve">avversi. Particolarmente rilevante se viene richiesta la step therapy.]</w:t>
      </w:r>
    </w:p>
    <w:bookmarkEnd w:id="9"/>
    <w:bookmarkStart w:id="10" w:name="perché-lossigeno-e-perché-ad-alto-flusso"/>
    <w:p>
      <w:pPr>
        <w:pStyle w:val="Heading3"/>
      </w:pPr>
      <w:r>
        <w:t xml:space="preserve">Perché l’ossigeno, e perché ad alto flusso</w:t>
      </w:r>
    </w:p>
    <w:p>
      <w:pPr>
        <w:pStyle w:val="FirstParagraph"/>
      </w:pPr>
      <w:r>
        <w:t xml:space="preserve">L’ossigeno inalato ad alto flusso tramite maschera con reservoir</w:t>
      </w:r>
      <w:r>
        <w:t xml:space="preserve"> </w:t>
      </w:r>
      <w:r>
        <w:t xml:space="preserve">(non-rebreathing) è riconosciuto come terapia sintomatica di prima linea</w:t>
      </w:r>
      <w:r>
        <w:t xml:space="preserve"> </w:t>
      </w:r>
      <w:r>
        <w:t xml:space="preserve">per la cefalea a grappolo dalle principali linee guida: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European Academy of Neurology (EAN):</w:t>
      </w:r>
      <w:r>
        <w:t xml:space="preserve"> </w:t>
      </w:r>
      <w:r>
        <w:rPr>
          <w:i/>
          <w:iCs/>
        </w:rPr>
        <w:t xml:space="preserve">“The first option for the</w:t>
      </w:r>
      <w:r>
        <w:rPr>
          <w:i/>
          <w:iCs/>
        </w:rPr>
        <w:t xml:space="preserve"> </w:t>
      </w:r>
      <w:r>
        <w:rPr>
          <w:i/>
          <w:iCs/>
        </w:rPr>
        <w:t xml:space="preserve">treatment of acute attacks of cluster headache should be subcutaneous</w:t>
      </w:r>
      <w:r>
        <w:rPr>
          <w:i/>
          <w:iCs/>
        </w:rPr>
        <w:t xml:space="preserve"> </w:t>
      </w:r>
      <w:r>
        <w:rPr>
          <w:i/>
          <w:iCs/>
        </w:rPr>
        <w:t xml:space="preserve">injection of sumatriptan 6 mg or the inhalation of 100% oxygen with</w:t>
      </w:r>
      <w:r>
        <w:rPr>
          <w:i/>
          <w:iCs/>
        </w:rPr>
        <w:t xml:space="preserve"> </w:t>
      </w:r>
      <w:r>
        <w:rPr>
          <w:i/>
          <w:iCs/>
        </w:rPr>
        <w:t xml:space="preserve">at least 12 L/min over 15 min.”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American Headache Society (AHS).</w:t>
      </w:r>
      <w:r>
        <w:t xml:space="preserve"> </w:t>
      </w:r>
      <w:r>
        <w:t xml:space="preserve">Terapia sintomatica di Livello A.</w:t>
      </w:r>
    </w:p>
    <w:p>
      <w:pPr>
        <w:pStyle w:val="Compact"/>
        <w:numPr>
          <w:ilvl w:val="0"/>
          <w:numId w:val="1001"/>
        </w:numPr>
      </w:pPr>
      <w:r>
        <w:t xml:space="preserve">[Aggiungere la linea guida nazionale locale, se applicabile.]</w:t>
      </w:r>
    </w:p>
    <w:p>
      <w:pPr>
        <w:pStyle w:val="FirstParagraph"/>
      </w:pPr>
      <w:r>
        <w:t xml:space="preserve">L’evidenza scientifica comprende Cohen et al. (JAMA, 2009), uno studio</w:t>
      </w:r>
      <w:r>
        <w:t xml:space="preserve"> </w:t>
      </w:r>
      <w:r>
        <w:t xml:space="preserve">randomizzato in doppio cieco controllato con placebo che ha mostrato una</w:t>
      </w:r>
      <w:r>
        <w:t xml:space="preserve"> </w:t>
      </w:r>
      <w:r>
        <w:t xml:space="preserve">risposta pain-free a 15 minuti nel 78% degli attacchi trattati con</w:t>
      </w:r>
      <w:r>
        <w:t xml:space="preserve"> </w:t>
      </w:r>
      <w:r>
        <w:t xml:space="preserve">ossigeno rispetto al 20% con aria placebo; Medrea et al. (Journal of</w:t>
      </w:r>
      <w:r>
        <w:t xml:space="preserve"> </w:t>
      </w:r>
      <w:r>
        <w:t xml:space="preserve">Headache and Pain, 2022), una network meta-analisi di 13 RCT in cui</w:t>
      </w:r>
      <w:r>
        <w:t xml:space="preserve"> </w:t>
      </w:r>
      <w:r>
        <w:t xml:space="preserve">l’ossigeno ad alto flusso si è classificato come la terapia sintomatica</w:t>
      </w:r>
      <w:r>
        <w:t xml:space="preserve"> </w:t>
      </w:r>
      <w:r>
        <w:t xml:space="preserve">più efficace; e Robbins et al.,</w:t>
      </w:r>
      <w:r>
        <w:t xml:space="preserve"> </w:t>
      </w:r>
      <w:r>
        <w:rPr>
          <w:i/>
          <w:iCs/>
        </w:rPr>
        <w:t xml:space="preserve">Treatment of Cluster Headache: The</w:t>
      </w:r>
      <w:r>
        <w:rPr>
          <w:i/>
          <w:iCs/>
        </w:rPr>
        <w:t xml:space="preserve"> </w:t>
      </w:r>
      <w:r>
        <w:rPr>
          <w:i/>
          <w:iCs/>
        </w:rPr>
        <w:t xml:space="preserve">American Headache Society Evidence-Based Guidelines</w:t>
      </w:r>
      <w:r>
        <w:t xml:space="preserve"> </w:t>
      </w:r>
      <w:r>
        <w:t xml:space="preserve">(Headache,</w:t>
      </w:r>
      <w:r>
        <w:t xml:space="preserve"> </w:t>
      </w:r>
      <w:r>
        <w:t xml:space="preserve">2016;56:1093–1106), che classifica l’ossigeno ad alto flusso come terapia</w:t>
      </w:r>
      <w:r>
        <w:t xml:space="preserve"> </w:t>
      </w:r>
      <w:r>
        <w:t xml:space="preserve">sintomatica di Livello A.</w:t>
      </w:r>
    </w:p>
    <w:bookmarkEnd w:id="10"/>
    <w:bookmarkStart w:id="11" w:name="prescrizione"/>
    <w:p>
      <w:pPr>
        <w:pStyle w:val="Heading3"/>
      </w:pPr>
      <w:r>
        <w:t xml:space="preserve">Prescrizione</w:t>
      </w:r>
    </w:p>
    <w:p>
      <w:pPr>
        <w:pStyle w:val="Compact"/>
        <w:numPr>
          <w:ilvl w:val="0"/>
          <w:numId w:val="1002"/>
        </w:numPr>
      </w:pPr>
      <w:r>
        <w:t xml:space="preserve">Ossigeno al 100% a 15 L/min tramite maschera con reservoir</w:t>
      </w:r>
      <w:r>
        <w:t xml:space="preserve"> </w:t>
      </w:r>
      <w:r>
        <w:t xml:space="preserve">(non-rebreathing), fino a 20 minuti per attacco, al bisogno (PRN,</w:t>
      </w:r>
      <w:r>
        <w:t xml:space="preserve"> </w:t>
      </w:r>
      <w:r>
        <w:t xml:space="preserve">frequenza determinata dal numero di attacchi al giorno).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Una bombola domiciliare di grandi dimensioni e una bombola</w:t>
      </w:r>
      <w:r>
        <w:rPr>
          <w:b/>
          <w:bCs/>
        </w:rPr>
        <w:t xml:space="preserve"> </w:t>
      </w:r>
      <w:r>
        <w:rPr>
          <w:b/>
          <w:bCs/>
        </w:rPr>
        <w:t xml:space="preserve">portatile.</w:t>
      </w:r>
      <w:r>
        <w:t xml:space="preserve"> </w:t>
      </w:r>
      <w:r>
        <w:t xml:space="preserve">Il paziente necessita di entrambe: la bombola domiciliare</w:t>
      </w:r>
      <w:r>
        <w:t xml:space="preserve"> </w:t>
      </w:r>
      <w:r>
        <w:t xml:space="preserve">per gli attacchi notturni e a domicilio, e la bombola portatile per</w:t>
      </w:r>
      <w:r>
        <w:t xml:space="preserve"> </w:t>
      </w:r>
      <w:r>
        <w:t xml:space="preserve">gli attacchi che si verificano sul posto di lavoro o fuori casa. Gli</w:t>
      </w:r>
      <w:r>
        <w:t xml:space="preserve"> </w:t>
      </w:r>
      <w:r>
        <w:t xml:space="preserve">attacchi sono imprevedibili e non possono essere rimandati.</w:t>
      </w:r>
    </w:p>
    <w:p>
      <w:pPr>
        <w:pStyle w:val="Compact"/>
        <w:numPr>
          <w:ilvl w:val="0"/>
          <w:numId w:val="1002"/>
        </w:numPr>
      </w:pPr>
      <w:r>
        <w:t xml:space="preserve">Maschera con reservoir (non-rebreathing) e tubo di raccordo.</w:t>
      </w:r>
    </w:p>
    <w:p>
      <w:pPr>
        <w:pStyle w:val="Compact"/>
        <w:numPr>
          <w:ilvl w:val="0"/>
          <w:numId w:val="1002"/>
        </w:numPr>
      </w:pPr>
      <w:r>
        <w:t xml:space="preserve">[Aggiungere la specifica della valvola a domanda se richiesta.]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Durata della necessità:</w:t>
      </w:r>
      <w:r>
        <w:t xml:space="preserve"> </w:t>
      </w:r>
      <w:r>
        <w:t xml:space="preserve">12 mesi, prosecutivi. La cefalea a</w:t>
      </w:r>
      <w:r>
        <w:t xml:space="preserve"> </w:t>
      </w:r>
      <w:r>
        <w:t xml:space="preserve">grappolo è una condizione cronica per tutta la vita, con periodi</w:t>
      </w:r>
      <w:r>
        <w:t xml:space="preserve"> </w:t>
      </w:r>
      <w:r>
        <w:t xml:space="preserve">attivi ricorrenti a tempo indeterminato.</w:t>
      </w:r>
    </w:p>
    <w:bookmarkEnd w:id="11"/>
    <w:bookmarkStart w:id="12" w:name="perché-questo-è-clinicamente-necessario"/>
    <w:p>
      <w:pPr>
        <w:pStyle w:val="Heading3"/>
      </w:pPr>
      <w:r>
        <w:t xml:space="preserve">Perché questo è clinicamente necessario</w:t>
      </w:r>
    </w:p>
    <w:p>
      <w:pPr>
        <w:pStyle w:val="FirstParagraph"/>
      </w:pPr>
      <w:r>
        <w:t xml:space="preserve">In assenza di una terapia sintomatica efficace, il paziente sperimenta</w:t>
      </w:r>
      <w:r>
        <w:t xml:space="preserve"> </w:t>
      </w:r>
      <w:r>
        <w:t xml:space="preserve">un dolore grave e invalidante più volte al giorno, con un impatto</w:t>
      </w:r>
      <w:r>
        <w:t xml:space="preserve"> </w:t>
      </w:r>
      <w:r>
        <w:t xml:space="preserve">sostanziale su sonno, funzionalità e qualità della vita. I triptani,</w:t>
      </w:r>
      <w:r>
        <w:t xml:space="preserve"> </w:t>
      </w:r>
      <w:r>
        <w:t xml:space="preserve">l’altra terapia sintomatica di prima linea riconosciuta, non sono</w:t>
      </w:r>
      <w:r>
        <w:t xml:space="preserve"> </w:t>
      </w:r>
      <w:r>
        <w:t xml:space="preserve">indicati in questo paziente:</w:t>
      </w:r>
      <w:r>
        <w:t xml:space="preserve"> </w:t>
      </w:r>
      <w:r>
        <w:t xml:space="preserve">[controindicati per rischio cardiovascolare / cardiopatia ischemica /</w:t>
      </w:r>
      <w:r>
        <w:t xml:space="preserve"> </w:t>
      </w:r>
      <w:r>
        <w:t xml:space="preserve">ipertensione non controllata],</w:t>
      </w:r>
      <w:r>
        <w:t xml:space="preserve"> </w:t>
      </w:r>
      <w:r>
        <w:rPr>
          <w:i/>
          <w:iCs/>
        </w:rPr>
        <w:t xml:space="preserve">oppure</w:t>
      </w:r>
      <w:r>
        <w:t xml:space="preserve"> </w:t>
      </w:r>
      <w:r>
        <w:t xml:space="preserve">[provati e inefficaci: farmaco,</w:t>
      </w:r>
      <w:r>
        <w:t xml:space="preserve"> </w:t>
      </w:r>
      <w:r>
        <w:t xml:space="preserve">dose, date],</w:t>
      </w:r>
      <w:r>
        <w:t xml:space="preserve"> </w:t>
      </w:r>
      <w:r>
        <w:rPr>
          <w:i/>
          <w:iCs/>
        </w:rPr>
        <w:t xml:space="preserve">oppure</w:t>
      </w:r>
      <w:r>
        <w:t xml:space="preserve"> </w:t>
      </w:r>
      <w:r>
        <w:t xml:space="preserve">[scarsamente tollerati: effetti avversi].</w:t>
      </w:r>
    </w:p>
    <w:p>
      <w:pPr>
        <w:pStyle w:val="BodyText"/>
      </w:pPr>
      <w:r>
        <w:t xml:space="preserve">L’ossigeno non ha effetti collaterali sistemici, né interazioni</w:t>
      </w:r>
      <w:r>
        <w:t xml:space="preserve"> </w:t>
      </w:r>
      <w:r>
        <w:t xml:space="preserve">farmacologiche, né controindicazioni basate sull’anamnesi di questo</w:t>
      </w:r>
      <w:r>
        <w:t xml:space="preserve"> </w:t>
      </w:r>
      <w:r>
        <w:t xml:space="preserve">paziente. È l’opzione sintomatica più sicura disponibile per questo</w:t>
      </w:r>
      <w:r>
        <w:t xml:space="preserve"> </w:t>
      </w:r>
      <w:r>
        <w:t xml:space="preserve">paziente.</w:t>
      </w:r>
    </w:p>
    <w:p>
      <w:pPr>
        <w:pStyle w:val="BodyText"/>
      </w:pPr>
      <w:r>
        <w:t xml:space="preserve">Attesto che l’ossigenoterapia domiciliare ad alto flusso è clinicamente</w:t>
      </w:r>
      <w:r>
        <w:t xml:space="preserve"> </w:t>
      </w:r>
      <w:r>
        <w:t xml:space="preserve">necessaria per [Nome del paziente].</w:t>
      </w:r>
    </w:p>
    <w:p>
      <w:pPr>
        <w:pStyle w:val="BodyText"/>
      </w:pPr>
      <w:r>
        <w:t xml:space="preserve">Cordiali saluti,</w:t>
      </w:r>
    </w:p>
    <w:p>
      <w:pPr>
        <w:pStyle w:val="BodyText"/>
      </w:pPr>
      <w:r>
        <w:rPr>
          <w:b/>
          <w:bCs/>
        </w:rPr>
        <w:t xml:space="preserve">[Nome del prescrittore]</w:t>
      </w:r>
      <w:r>
        <w:t xml:space="preserve"> </w:t>
      </w:r>
      <w:r>
        <w:rPr>
          <w:b/>
          <w:bCs/>
        </w:rPr>
        <w:t xml:space="preserve">[Qualifica / specializzazione]</w:t>
      </w:r>
      <w:r>
        <w:t xml:space="preserve"> </w:t>
      </w:r>
      <w:r>
        <w:rPr>
          <w:b/>
          <w:bCs/>
        </w:rPr>
        <w:t xml:space="preserve">[Numero di iscrizione all’Ordine]</w:t>
      </w:r>
      <w:r>
        <w:t xml:space="preserve"> </w:t>
      </w:r>
      <w:r>
        <w:rPr>
          <w:b/>
          <w:bCs/>
        </w:rPr>
        <w:t xml:space="preserve">[Firma]</w:t>
      </w:r>
      <w:r>
        <w:t xml:space="preserve"> </w:t>
      </w:r>
      <w:r>
        <w:rPr>
          <w:b/>
          <w:bCs/>
        </w:rPr>
        <w:t xml:space="preserve">[Data]</w:t>
      </w:r>
    </w:p>
    <w:bookmarkEnd w:id="12"/>
    <w:bookmarkEnd w:id="13"/>
    <w:bookmarkEnd w:id="14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terapeutico: modello per il clinico prescrittore</dc:title>
  <dc:creator/>
  <cp:keywords/>
  <dcterms:created xsi:type="dcterms:W3CDTF">2026-05-27T10:35:14Z</dcterms:created>
  <dcterms:modified xsi:type="dcterms:W3CDTF">2026-05-27T10:35:14Z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