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Artículos a texto completo</w:t>
      </w:r>
    </w:p>
    <w:bookmarkStart w:id="9" w:name="artículos-a-texto-completo"/>
    <w:p>
      <w:pPr>
        <w:pStyle w:val="Heading1"/>
      </w:pPr>
      <w:r>
        <w:t xml:space="preserve">Artículos a texto completo</w:t>
      </w:r>
    </w:p>
    <w:p>
      <w:pPr>
        <w:pStyle w:val="FirstParagraph"/>
      </w:pPr>
      <w:r>
        <w:t xml:space="preserve">Esta carpeta reúne los PDF a texto completo de los estudios resumidos en</w:t>
      </w:r>
      <w:r>
        <w:t xml:space="preserve"> </w:t>
      </w:r>
      <w:r>
        <w:rPr>
          <w:rStyle w:val="VerbatimChar"/>
        </w:rPr>
        <w:t xml:space="preserve">04-evidencia.docx</w:t>
      </w:r>
      <w:r>
        <w:t xml:space="preserve">. Consulta los artículos originales para los hallazgos</w:t>
      </w:r>
      <w:r>
        <w:t xml:space="preserve"> </w:t>
      </w:r>
      <w:r>
        <w:t xml:space="preserve">definitivos; los resúmenes en</w:t>
      </w:r>
      <w:r>
        <w:t xml:space="preserve"> </w:t>
      </w:r>
      <w:r>
        <w:rPr>
          <w:rStyle w:val="VerbatimChar"/>
        </w:rPr>
        <w:t xml:space="preserve">04-evidencia.docx</w:t>
      </w:r>
      <w:r>
        <w:t xml:space="preserve"> </w:t>
      </w:r>
      <w:r>
        <w:t xml:space="preserve">están abreviados.</w:t>
      </w:r>
    </w:p>
    <w:p>
      <w:pPr>
        <w:pStyle w:val="BodyText"/>
      </w:pPr>
      <w:r>
        <w:t xml:space="preserve">Se incluyen: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cohen2009.pdf</w:t>
      </w:r>
      <w:r>
        <w:t xml:space="preserve"> </w:t>
      </w:r>
      <w:r>
        <w:t xml:space="preserve">— Cohen et al., 2009 (JAMA). Ensayo aleatorizado de oxígeno de alto flujo.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medrea2022.pdf</w:t>
      </w:r>
      <w:r>
        <w:t xml:space="preserve"> </w:t>
      </w:r>
      <w:r>
        <w:t xml:space="preserve">— Medrea et al., 2022 (Headache).</w:t>
      </w:r>
      <w:r>
        <w:t xml:space="preserve"> </w:t>
      </w:r>
      <w:r>
        <w:t xml:space="preserve">Metaanálisis en red de los tratamientos agudos de la cefalea en racimos.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mo2022.pdf</w:t>
      </w:r>
      <w:r>
        <w:t xml:space="preserve"> </w:t>
      </w:r>
      <w:r>
        <w:t xml:space="preserve">— Mo et al., 2022 (J Clin Neurol).</w:t>
      </w:r>
      <w:r>
        <w:t xml:space="preserve"> </w:t>
      </w:r>
      <w:r>
        <w:t xml:space="preserve">Revisión sobre la oxigenoterapia en la cefalea en racimos, la migraña y otros trastornos cefalálgicos.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rozen2013.pdf</w:t>
      </w:r>
      <w:r>
        <w:t xml:space="preserve"> </w:t>
      </w:r>
      <w:r>
        <w:t xml:space="preserve">— Rozen &amp; Fishman, 2013 (Pain Medicine).</w:t>
      </w:r>
      <w:r>
        <w:t xml:space="preserve"> </w:t>
      </w:r>
      <w:r>
        <w:t xml:space="preserve">Estudio piloto sobre oxígeno con válvula de demanda.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goadsby2025.pdf</w:t>
      </w:r>
      <w:r>
        <w:t xml:space="preserve"> </w:t>
      </w:r>
      <w:r>
        <w:t xml:space="preserve">— Goadsby et al., 2025 (Cephalalgia Reports).</w:t>
      </w:r>
      <w:r>
        <w:t xml:space="preserve"> </w:t>
      </w:r>
      <w:r>
        <w:t xml:space="preserve">Encuesta de experiencia de los pacientes con DVO frente al oxígeno de alto flujo estándar.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tepper2017.pdf</w:t>
      </w:r>
      <w:r>
        <w:t xml:space="preserve"> </w:t>
      </w:r>
      <w:r>
        <w:t xml:space="preserve">— Tepper et al., 2017 (Headache).</w:t>
      </w:r>
      <w:r>
        <w:t xml:space="preserve"> </w:t>
      </w:r>
      <w:r>
        <w:t xml:space="preserve">Guía práctica de prescripción.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Artículos a texto completo</dc:title>
  <dc:creator/>
  <cp:keywords/>
  <dcterms:created xsi:type="dcterms:W3CDTF">2026-05-27T10:35:12Z</dcterms:created>
  <dcterms:modified xsi:type="dcterms:W3CDTF">2026-05-27T10:35:12Z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