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Guías clínicas sobre el oxígeno para la cefalea en racimos</w:t>
      </w:r>
    </w:p>
    <w:bookmarkStart w:id="17" w:name="Xf94291bef4c1e42e7fdcaed16b9dc10c215eee3"/>
    <w:p>
      <w:pPr>
        <w:pStyle w:val="Heading1"/>
      </w:pPr>
      <w:r>
        <w:t xml:space="preserve">Guías clínicas sobre el oxígeno para la cefalea en racimos</w:t>
      </w:r>
    </w:p>
    <w:p>
      <w:pPr>
        <w:pStyle w:val="FirstParagraph"/>
      </w:pPr>
      <w:r>
        <w:t xml:space="preserve">Un resumen de una página de las principales guías clínicas que recomiendan</w:t>
      </w:r>
      <w:r>
        <w:t xml:space="preserve"> </w:t>
      </w:r>
      <w:r>
        <w:t xml:space="preserve">el oxígeno de alto flujo como tratamiento agudo de primera línea para la</w:t>
      </w:r>
      <w:r>
        <w:t xml:space="preserve"> </w:t>
      </w:r>
      <w:r>
        <w:t xml:space="preserve">cefalea en racimos.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“La primera opción para el tratamiento de los ataques agudos de cefalea</w:t>
      </w:r>
      <w:r>
        <w:t xml:space="preserve"> </w:t>
      </w:r>
      <w:r>
        <w:t xml:space="preserve">en racimos debe ser la inyección subcutánea de sumatriptán 6 mg o la</w:t>
      </w:r>
      <w:r>
        <w:t xml:space="preserve"> </w:t>
      </w:r>
      <w:r>
        <w:t xml:space="preserve">inhalación de oxígeno al 100% a al menos 12 L/min durante 15 minutos.”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El oxígeno de alto flujo (normalmente 6–12 L/min mediante mascarilla con</w:t>
      </w:r>
      <w:r>
        <w:t xml:space="preserve"> </w:t>
      </w:r>
      <w:r>
        <w:t xml:space="preserve">reservorio) está reconocido como</w:t>
      </w:r>
      <w:r>
        <w:t xml:space="preserve"> </w:t>
      </w:r>
      <w:r>
        <w:rPr>
          <w:b/>
          <w:bCs/>
        </w:rPr>
        <w:t xml:space="preserve">tratamiento agudo de nivel A</w:t>
      </w:r>
      <w:r>
        <w:t xml:space="preserve"> </w:t>
      </w:r>
      <w:r>
        <w:t xml:space="preserve">para la</w:t>
      </w:r>
      <w:r>
        <w:t xml:space="preserve"> </w:t>
      </w:r>
      <w:r>
        <w:t xml:space="preserve">cefalea en racimos.</w:t>
      </w:r>
    </w:p>
    <w:bookmarkEnd w:id="10"/>
    <w:bookmarkStart w:id="11" w:name="nice-cg150-reino-unido"/>
    <w:p>
      <w:pPr>
        <w:pStyle w:val="Heading2"/>
      </w:pPr>
      <w:r>
        <w:t xml:space="preserve">NICE CG150 (Reino Unido)</w:t>
      </w:r>
    </w:p>
    <w:p>
      <w:pPr>
        <w:pStyle w:val="BlockText"/>
      </w:pPr>
      <w:r>
        <w:t xml:space="preserve">“Ofrezca oxígeno y/o un triptán subcutáneo o nasal para el tratamiento</w:t>
      </w:r>
      <w:r>
        <w:t xml:space="preserve"> </w:t>
      </w:r>
      <w:r>
        <w:t xml:space="preserve">agudo de la cefalea en racimos.”</w:t>
      </w:r>
    </w:p>
    <w:p>
      <w:pPr>
        <w:pStyle w:val="BlockText"/>
      </w:pPr>
      <w:r>
        <w:t xml:space="preserve">“Use oxígeno al 100% a un flujo de al menos 12 litros por minuto con</w:t>
      </w:r>
      <w:r>
        <w:t xml:space="preserve"> </w:t>
      </w:r>
      <w:r>
        <w:t xml:space="preserve">mascarilla con reservorio (no reinhalante) y bolsa reservorio, y</w:t>
      </w:r>
      <w:r>
        <w:t xml:space="preserve"> </w:t>
      </w:r>
      <w:r>
        <w:t xml:space="preserve">organice el suministro de oxígeno domiciliario y ambulatorio.”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La guía más útil para el paciente sobre el flujo y el patrón de uso del</w:t>
      </w:r>
      <w:r>
        <w:t xml:space="preserve"> </w:t>
      </w:r>
      <w:r>
        <w:t xml:space="preserve">oxígeno:</w:t>
      </w:r>
    </w:p>
    <w:p>
      <w:pPr>
        <w:pStyle w:val="Compact"/>
        <w:numPr>
          <w:ilvl w:val="0"/>
          <w:numId w:val="1001"/>
        </w:numPr>
      </w:pPr>
      <w:r>
        <w:t xml:space="preserve">Oxígeno al 100% a</w:t>
      </w:r>
      <w:r>
        <w:t xml:space="preserve"> </w:t>
      </w:r>
      <w:r>
        <w:rPr>
          <w:b/>
          <w:bCs/>
        </w:rPr>
        <w:t xml:space="preserve">10–15 L/min durante 15–20 minutos</w:t>
      </w:r>
      <w:r>
        <w:t xml:space="preserve"> </w:t>
      </w:r>
      <w:r>
        <w:t xml:space="preserve">mediante</w:t>
      </w:r>
      <w:r>
        <w:t xml:space="preserve"> </w:t>
      </w:r>
      <w:r>
        <w:t xml:space="preserve">mascarilla con reservorio.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Sin límite máximo de uso.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Válvula de demanda</w:t>
      </w:r>
      <w:r>
        <w:t xml:space="preserve"> </w:t>
      </w:r>
      <w:r>
        <w:t xml:space="preserve">disponible bajo solicitud.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ee.-uu.-medicare-lcd-l33797"/>
    <w:p>
      <w:pPr>
        <w:pStyle w:val="Heading2"/>
      </w:pPr>
      <w:r>
        <w:t xml:space="preserve">EE. UU.: Medicare LCD L33797</w:t>
      </w:r>
    </w:p>
    <w:p>
      <w:pPr>
        <w:pStyle w:val="FirstParagraph"/>
      </w:pPr>
      <w:r>
        <w:t xml:space="preserve">La cefalea en racimos figura como condición clasificatoria de</w:t>
      </w:r>
      <w:r>
        <w:t xml:space="preserve"> </w:t>
      </w:r>
      <w:r>
        <w:rPr>
          <w:b/>
          <w:bCs/>
        </w:rPr>
        <w:t xml:space="preserve">Grupo III</w:t>
      </w:r>
      <w:r>
        <w:t xml:space="preserve"> </w:t>
      </w:r>
      <w:r>
        <w:t xml:space="preserve">para el oxígeno domiciliario en la Local Coverage Determination L33797 de</w:t>
      </w:r>
      <w:r>
        <w:t xml:space="preserve"> </w:t>
      </w:r>
      <w:r>
        <w:t xml:space="preserve">Medicare. Se incluye aquí como referencia cruzada; la documentación de</w:t>
      </w:r>
      <w:r>
        <w:t xml:space="preserve"> </w:t>
      </w:r>
      <w:r>
        <w:t xml:space="preserve">respaldo del LCD se encuentra en el paquete para EE. UU.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busca-la-guía-clínica-de-tu-país"/>
    <w:p>
      <w:pPr>
        <w:pStyle w:val="Heading2"/>
      </w:pPr>
      <w:r>
        <w:t xml:space="preserve">Busca la guía clínica de tu país</w:t>
      </w:r>
    </w:p>
    <w:p>
      <w:pPr>
        <w:pStyle w:val="FirstParagraph"/>
      </w:pPr>
      <w:r>
        <w:t xml:space="preserve">Si tu país cuenta con una sociedad nacional de cefaleas o una autoridad</w:t>
      </w:r>
      <w:r>
        <w:t xml:space="preserve"> </w:t>
      </w:r>
      <w:r>
        <w:t xml:space="preserve">sanitaria que haya publicado una guía sobre la cefalea en racimos,</w:t>
      </w:r>
      <w:r>
        <w:t xml:space="preserve"> </w:t>
      </w:r>
      <w:r>
        <w:t xml:space="preserve">cítala también. Ejemplos (no exhaustivos):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Alemania: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Francia: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Italia: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España: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Canadá: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Australia / Nueva Zelanda: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La mayoría de las sociedades nacionales de cefaleas respaldan la postura</w:t>
      </w:r>
      <w:r>
        <w:t xml:space="preserve"> </w:t>
      </w:r>
      <w:r>
        <w:t xml:space="preserve">de la EAN y/o la AHS sobre el oxígeno como tratamiento agudo de primera</w:t>
      </w:r>
      <w:r>
        <w:t xml:space="preserve"> </w:t>
      </w:r>
      <w:r>
        <w:t xml:space="preserve">línea.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Guías clínicas sobre el oxígeno para la cefalea en racimos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